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79C3FA5">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方正小标宋简体" w:hAnsi="方正小标宋简体" w:eastAsia="方正小标宋简体" w:cs="方正小标宋简体"/>
          <w:b w:val="0"/>
          <w:kern w:val="2"/>
          <w:sz w:val="44"/>
          <w:szCs w:val="44"/>
          <w:lang w:val="en-US" w:eastAsia="zh-CN" w:bidi="ar-SA"/>
        </w:rPr>
      </w:pPr>
      <w:r>
        <w:rPr>
          <w:rFonts w:hint="eastAsia" w:ascii="方正小标宋简体" w:hAnsi="方正小标宋简体" w:eastAsia="方正小标宋简体" w:cs="方正小标宋简体"/>
          <w:b w:val="0"/>
          <w:kern w:val="2"/>
          <w:sz w:val="44"/>
          <w:szCs w:val="44"/>
          <w:lang w:val="en-US" w:eastAsia="zh-CN" w:bidi="ar-SA"/>
        </w:rPr>
        <w:t>雅安市中医医院城后路</w:t>
      </w:r>
      <w:bookmarkStart w:id="0" w:name="OLE_LINK3"/>
      <w:r>
        <w:rPr>
          <w:rFonts w:hint="eastAsia" w:ascii="方正小标宋简体" w:hAnsi="方正小标宋简体" w:eastAsia="方正小标宋简体" w:cs="方正小标宋简体"/>
          <w:b w:val="0"/>
          <w:kern w:val="2"/>
          <w:sz w:val="44"/>
          <w:szCs w:val="44"/>
          <w:lang w:val="en-US" w:eastAsia="zh-CN" w:bidi="ar-SA"/>
        </w:rPr>
        <w:t>院区地下污水管网隐蔽工程施工</w:t>
      </w:r>
      <w:bookmarkEnd w:id="0"/>
      <w:r>
        <w:rPr>
          <w:rFonts w:hint="eastAsia" w:ascii="方正小标宋简体" w:hAnsi="方正小标宋简体" w:eastAsia="方正小标宋简体" w:cs="方正小标宋简体"/>
          <w:b w:val="0"/>
          <w:kern w:val="2"/>
          <w:sz w:val="44"/>
          <w:szCs w:val="44"/>
          <w:lang w:val="en-US" w:eastAsia="zh-CN" w:bidi="ar-SA"/>
        </w:rPr>
        <w:t>服务采购需求</w:t>
      </w:r>
    </w:p>
    <w:p w14:paraId="514DDFA6">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方正小标宋简体" w:hAnsi="方正小标宋简体" w:eastAsia="方正小标宋简体" w:cs="方正小标宋简体"/>
          <w:b w:val="0"/>
          <w:kern w:val="2"/>
          <w:sz w:val="44"/>
          <w:szCs w:val="44"/>
          <w:lang w:val="en-US" w:eastAsia="zh-CN" w:bidi="ar-SA"/>
        </w:rPr>
      </w:pPr>
    </w:p>
    <w:p w14:paraId="5D364729">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480" w:firstLineChars="200"/>
        <w:jc w:val="both"/>
        <w:textAlignment w:val="auto"/>
        <w:rPr>
          <w:rFonts w:hint="eastAsia" w:ascii="黑体" w:hAnsi="黑体" w:eastAsia="黑体" w:cs="黑体"/>
          <w:b w:val="0"/>
          <w:kern w:val="2"/>
          <w:sz w:val="24"/>
          <w:szCs w:val="24"/>
          <w:lang w:val="en-US" w:eastAsia="zh-CN" w:bidi="ar-SA"/>
        </w:rPr>
      </w:pPr>
      <w:r>
        <w:rPr>
          <w:rFonts w:hint="eastAsia" w:ascii="黑体" w:hAnsi="黑体" w:eastAsia="黑体" w:cs="黑体"/>
          <w:b w:val="0"/>
          <w:kern w:val="2"/>
          <w:sz w:val="24"/>
          <w:szCs w:val="24"/>
          <w:lang w:val="en-US" w:eastAsia="zh-CN" w:bidi="ar-SA"/>
        </w:rPr>
        <w:t>一、项目名称</w:t>
      </w:r>
    </w:p>
    <w:p w14:paraId="71306F91">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480" w:firstLineChars="200"/>
        <w:jc w:val="both"/>
        <w:textAlignment w:val="auto"/>
        <w:rPr>
          <w:rFonts w:hint="eastAsia" w:ascii="仿宋_GB2312" w:hAnsi="仿宋_GB2312" w:eastAsia="仿宋_GB2312" w:cs="仿宋_GB2312"/>
          <w:b w:val="0"/>
          <w:kern w:val="2"/>
          <w:sz w:val="24"/>
          <w:szCs w:val="24"/>
          <w:lang w:val="en-US" w:eastAsia="zh-CN" w:bidi="ar-SA"/>
        </w:rPr>
      </w:pPr>
      <w:r>
        <w:rPr>
          <w:rFonts w:hint="eastAsia" w:ascii="仿宋_GB2312" w:hAnsi="仿宋_GB2312" w:eastAsia="仿宋_GB2312" w:cs="仿宋_GB2312"/>
          <w:b w:val="0"/>
          <w:kern w:val="2"/>
          <w:sz w:val="24"/>
          <w:szCs w:val="24"/>
          <w:lang w:val="en-US" w:eastAsia="zh-CN" w:bidi="ar-SA"/>
        </w:rPr>
        <w:t>雅安市中医医院城后路院区地下污水管网隐蔽工程施工服务项目</w:t>
      </w:r>
    </w:p>
    <w:p w14:paraId="15CE981A">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480" w:firstLineChars="200"/>
        <w:jc w:val="both"/>
        <w:textAlignment w:val="auto"/>
        <w:rPr>
          <w:rFonts w:hint="eastAsia" w:ascii="黑体" w:hAnsi="黑体" w:eastAsia="黑体" w:cs="黑体"/>
          <w:b w:val="0"/>
          <w:kern w:val="2"/>
          <w:sz w:val="24"/>
          <w:szCs w:val="24"/>
          <w:lang w:val="en-US" w:eastAsia="zh-CN" w:bidi="ar-SA"/>
        </w:rPr>
      </w:pPr>
      <w:r>
        <w:rPr>
          <w:rFonts w:hint="eastAsia" w:ascii="黑体" w:hAnsi="黑体" w:eastAsia="黑体" w:cs="黑体"/>
          <w:b w:val="0"/>
          <w:kern w:val="2"/>
          <w:sz w:val="24"/>
          <w:szCs w:val="24"/>
          <w:lang w:val="en-US" w:eastAsia="zh-CN" w:bidi="ar-SA"/>
        </w:rPr>
        <w:t>二、项目地点</w:t>
      </w:r>
    </w:p>
    <w:p w14:paraId="7FE188D5">
      <w:pPr>
        <w:pStyle w:val="2"/>
        <w:numPr>
          <w:ilvl w:val="0"/>
          <w:numId w:val="0"/>
        </w:numPr>
        <w:ind w:firstLine="640"/>
        <w:rPr>
          <w:rFonts w:hint="eastAsia" w:ascii="仿宋_GB2312" w:hAnsi="仿宋_GB2312" w:eastAsia="仿宋_GB2312" w:cs="仿宋_GB2312"/>
          <w:b w:val="0"/>
          <w:kern w:val="2"/>
          <w:sz w:val="24"/>
          <w:szCs w:val="24"/>
          <w:lang w:val="en-US" w:eastAsia="zh-CN" w:bidi="ar-SA"/>
        </w:rPr>
      </w:pPr>
      <w:r>
        <w:rPr>
          <w:rFonts w:hint="eastAsia" w:ascii="仿宋_GB2312" w:hAnsi="仿宋_GB2312" w:eastAsia="仿宋_GB2312" w:cs="仿宋_GB2312"/>
          <w:b w:val="0"/>
          <w:kern w:val="2"/>
          <w:sz w:val="24"/>
          <w:szCs w:val="24"/>
          <w:lang w:val="en-US" w:eastAsia="zh-CN" w:bidi="ar-SA"/>
        </w:rPr>
        <w:t>雅安市中医医院城后路院区</w:t>
      </w:r>
      <w:bookmarkStart w:id="4" w:name="_GoBack"/>
      <w:r>
        <w:rPr>
          <w:rFonts w:hint="eastAsia" w:ascii="仿宋_GB2312" w:hAnsi="仿宋_GB2312" w:eastAsia="仿宋_GB2312" w:cs="仿宋_GB2312"/>
          <w:b w:val="0"/>
          <w:kern w:val="2"/>
          <w:sz w:val="24"/>
          <w:szCs w:val="24"/>
          <w:highlight w:val="none"/>
          <w:lang w:val="en-US" w:eastAsia="zh-CN" w:bidi="ar-SA"/>
        </w:rPr>
        <w:t>及院区外污水处</w:t>
      </w:r>
      <w:bookmarkEnd w:id="4"/>
      <w:r>
        <w:rPr>
          <w:rFonts w:hint="eastAsia" w:ascii="仿宋_GB2312" w:hAnsi="仿宋_GB2312" w:eastAsia="仿宋_GB2312" w:cs="仿宋_GB2312"/>
          <w:b w:val="0"/>
          <w:kern w:val="2"/>
          <w:sz w:val="24"/>
          <w:szCs w:val="24"/>
          <w:lang w:val="en-US" w:eastAsia="zh-CN" w:bidi="ar-SA"/>
        </w:rPr>
        <w:t>理站</w:t>
      </w:r>
    </w:p>
    <w:p w14:paraId="7B2F6344">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480" w:firstLineChars="200"/>
        <w:jc w:val="both"/>
        <w:textAlignment w:val="auto"/>
        <w:rPr>
          <w:rFonts w:hint="eastAsia" w:ascii="黑体" w:hAnsi="黑体" w:eastAsia="黑体" w:cs="黑体"/>
          <w:b w:val="0"/>
          <w:kern w:val="2"/>
          <w:sz w:val="24"/>
          <w:szCs w:val="24"/>
          <w:lang w:val="en-US" w:eastAsia="zh-CN" w:bidi="ar-SA"/>
        </w:rPr>
      </w:pPr>
      <w:r>
        <w:rPr>
          <w:rFonts w:hint="eastAsia" w:ascii="黑体" w:hAnsi="黑体" w:eastAsia="黑体" w:cs="黑体"/>
          <w:b w:val="0"/>
          <w:kern w:val="2"/>
          <w:sz w:val="24"/>
          <w:szCs w:val="24"/>
          <w:lang w:val="en-US" w:eastAsia="zh-CN" w:bidi="ar-SA"/>
        </w:rPr>
        <w:t>三、项目预算</w:t>
      </w:r>
    </w:p>
    <w:p w14:paraId="4AFACC2E">
      <w:pPr>
        <w:pStyle w:val="3"/>
        <w:ind w:firstLine="480" w:firstLineChars="200"/>
        <w:rPr>
          <w:rFonts w:hint="eastAsia" w:ascii="仿宋_GB2312" w:hAnsi="仿宋_GB2312" w:eastAsia="仿宋_GB2312" w:cs="仿宋_GB2312"/>
          <w:b w:val="0"/>
          <w:kern w:val="2"/>
          <w:sz w:val="24"/>
          <w:szCs w:val="24"/>
          <w:lang w:val="en-US" w:eastAsia="zh-CN" w:bidi="ar-SA"/>
        </w:rPr>
      </w:pPr>
      <w:r>
        <w:rPr>
          <w:rFonts w:hint="eastAsia" w:ascii="仿宋_GB2312" w:hAnsi="仿宋_GB2312" w:eastAsia="仿宋_GB2312" w:cs="仿宋_GB2312"/>
          <w:b w:val="0"/>
          <w:kern w:val="2"/>
          <w:sz w:val="24"/>
          <w:szCs w:val="24"/>
          <w:lang w:val="en-US" w:eastAsia="zh-CN" w:bidi="ar-SA"/>
        </w:rPr>
        <w:t>本项目</w:t>
      </w:r>
      <w:bookmarkStart w:id="1" w:name="OLE_LINK1"/>
      <w:bookmarkStart w:id="2" w:name="OLE_LINK5"/>
      <w:r>
        <w:rPr>
          <w:rFonts w:hint="eastAsia" w:ascii="仿宋_GB2312" w:hAnsi="仿宋_GB2312" w:eastAsia="仿宋_GB2312" w:cs="仿宋_GB2312"/>
          <w:b w:val="0"/>
          <w:kern w:val="2"/>
          <w:sz w:val="24"/>
          <w:szCs w:val="24"/>
          <w:lang w:val="en-US" w:eastAsia="zh-CN" w:bidi="ar-SA"/>
        </w:rPr>
        <w:t>以每项施工种类的单项</w:t>
      </w:r>
      <w:bookmarkEnd w:id="1"/>
      <w:r>
        <w:rPr>
          <w:rFonts w:hint="eastAsia" w:ascii="仿宋_GB2312" w:hAnsi="仿宋_GB2312" w:eastAsia="仿宋_GB2312" w:cs="仿宋_GB2312"/>
          <w:b w:val="0"/>
          <w:kern w:val="2"/>
          <w:sz w:val="24"/>
          <w:szCs w:val="24"/>
          <w:lang w:val="en-US" w:eastAsia="zh-CN" w:bidi="ar-SA"/>
        </w:rPr>
        <w:t>最高限价进行采购</w:t>
      </w:r>
      <w:bookmarkEnd w:id="2"/>
      <w:r>
        <w:rPr>
          <w:rFonts w:hint="eastAsia" w:ascii="仿宋_GB2312" w:hAnsi="仿宋_GB2312" w:eastAsia="仿宋_GB2312" w:cs="仿宋_GB2312"/>
          <w:b w:val="0"/>
          <w:kern w:val="2"/>
          <w:sz w:val="24"/>
          <w:szCs w:val="24"/>
          <w:lang w:val="en-US" w:eastAsia="zh-CN" w:bidi="ar-SA"/>
        </w:rPr>
        <w:t>，最终费用以验收、审计结果进行结算。单项最高限价如下表所示：</w:t>
      </w:r>
    </w:p>
    <w:tbl>
      <w:tblPr>
        <w:tblStyle w:val="5"/>
        <w:tblpPr w:leftFromText="180" w:rightFromText="180" w:vertAnchor="text" w:horzAnchor="page" w:tblpX="1285" w:tblpY="349"/>
        <w:tblOverlap w:val="never"/>
        <w:tblW w:w="979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65"/>
        <w:gridCol w:w="1200"/>
        <w:gridCol w:w="1200"/>
        <w:gridCol w:w="945"/>
        <w:gridCol w:w="1080"/>
        <w:gridCol w:w="945"/>
        <w:gridCol w:w="1215"/>
        <w:gridCol w:w="1065"/>
        <w:gridCol w:w="1080"/>
      </w:tblGrid>
      <w:tr w14:paraId="234E98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65" w:type="dxa"/>
            <w:shd w:val="clear" w:color="auto" w:fill="auto"/>
            <w:vAlign w:val="center"/>
          </w:tcPr>
          <w:p w14:paraId="076784B6">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仿宋_GB2312" w:hAnsi="仿宋_GB2312" w:eastAsia="仿宋_GB2312" w:cs="仿宋_GB2312"/>
                <w:b/>
                <w:bCs/>
                <w:kern w:val="2"/>
                <w:sz w:val="24"/>
                <w:szCs w:val="24"/>
                <w:highlight w:val="none"/>
                <w:vertAlign w:val="baseline"/>
                <w:lang w:val="en-US" w:eastAsia="zh-CN" w:bidi="ar-SA"/>
              </w:rPr>
            </w:pPr>
            <w:r>
              <w:rPr>
                <w:rFonts w:hint="eastAsia" w:ascii="仿宋_GB2312" w:hAnsi="仿宋_GB2312" w:eastAsia="仿宋_GB2312" w:cs="仿宋_GB2312"/>
                <w:b/>
                <w:bCs/>
                <w:sz w:val="24"/>
                <w:szCs w:val="24"/>
                <w:highlight w:val="none"/>
                <w:vertAlign w:val="baseline"/>
                <w:lang w:val="en-US" w:eastAsia="zh-CN"/>
              </w:rPr>
              <w:t>土方开挖/方</w:t>
            </w:r>
          </w:p>
        </w:tc>
        <w:tc>
          <w:tcPr>
            <w:tcW w:w="2400" w:type="dxa"/>
            <w:gridSpan w:val="2"/>
            <w:shd w:val="clear" w:color="auto" w:fill="auto"/>
            <w:vAlign w:val="center"/>
          </w:tcPr>
          <w:p w14:paraId="56595F01">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仿宋_GB2312" w:hAnsi="仿宋_GB2312" w:eastAsia="仿宋_GB2312" w:cs="仿宋_GB2312"/>
                <w:b/>
                <w:bCs/>
                <w:kern w:val="2"/>
                <w:sz w:val="24"/>
                <w:szCs w:val="24"/>
                <w:highlight w:val="none"/>
                <w:vertAlign w:val="baseline"/>
                <w:lang w:val="en-US" w:eastAsia="zh-CN" w:bidi="ar-SA"/>
              </w:rPr>
            </w:pPr>
            <w:r>
              <w:rPr>
                <w:rFonts w:hint="eastAsia" w:ascii="仿宋_GB2312" w:hAnsi="仿宋_GB2312" w:eastAsia="仿宋_GB2312" w:cs="仿宋_GB2312"/>
                <w:b/>
                <w:bCs/>
                <w:sz w:val="24"/>
                <w:szCs w:val="24"/>
                <w:highlight w:val="none"/>
                <w:vertAlign w:val="baseline"/>
                <w:lang w:val="en-US" w:eastAsia="zh-CN"/>
              </w:rPr>
              <w:t>管道更换/米</w:t>
            </w:r>
          </w:p>
        </w:tc>
        <w:tc>
          <w:tcPr>
            <w:tcW w:w="945" w:type="dxa"/>
            <w:shd w:val="clear" w:color="auto" w:fill="auto"/>
            <w:vAlign w:val="center"/>
          </w:tcPr>
          <w:p w14:paraId="06072E58">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仿宋_GB2312" w:hAnsi="仿宋_GB2312" w:eastAsia="仿宋_GB2312" w:cs="仿宋_GB2312"/>
                <w:b/>
                <w:bCs/>
                <w:kern w:val="2"/>
                <w:sz w:val="24"/>
                <w:szCs w:val="24"/>
                <w:highlight w:val="none"/>
                <w:vertAlign w:val="baseline"/>
                <w:lang w:val="en-US" w:eastAsia="zh-CN" w:bidi="ar-SA"/>
              </w:rPr>
            </w:pPr>
            <w:r>
              <w:rPr>
                <w:rFonts w:hint="eastAsia" w:ascii="仿宋_GB2312" w:hAnsi="仿宋_GB2312" w:eastAsia="仿宋_GB2312" w:cs="仿宋_GB2312"/>
                <w:b/>
                <w:bCs/>
                <w:sz w:val="24"/>
                <w:szCs w:val="24"/>
                <w:highlight w:val="none"/>
                <w:vertAlign w:val="baseline"/>
                <w:lang w:val="en-US" w:eastAsia="zh-CN"/>
              </w:rPr>
              <w:t>管道检测/米</w:t>
            </w:r>
          </w:p>
        </w:tc>
        <w:tc>
          <w:tcPr>
            <w:tcW w:w="1080" w:type="dxa"/>
            <w:shd w:val="clear" w:color="auto" w:fill="auto"/>
            <w:vAlign w:val="center"/>
          </w:tcPr>
          <w:p w14:paraId="378B63E0">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仿宋_GB2312" w:hAnsi="仿宋_GB2312" w:eastAsia="仿宋_GB2312" w:cs="仿宋_GB2312"/>
                <w:b/>
                <w:bCs/>
                <w:kern w:val="2"/>
                <w:sz w:val="24"/>
                <w:szCs w:val="24"/>
                <w:highlight w:val="none"/>
                <w:vertAlign w:val="baseline"/>
                <w:lang w:val="en-US" w:eastAsia="zh-CN" w:bidi="ar-SA"/>
              </w:rPr>
            </w:pPr>
            <w:r>
              <w:rPr>
                <w:rFonts w:hint="eastAsia" w:ascii="仿宋_GB2312" w:hAnsi="仿宋_GB2312" w:eastAsia="仿宋_GB2312" w:cs="仿宋_GB2312"/>
                <w:b/>
                <w:bCs/>
                <w:sz w:val="24"/>
                <w:szCs w:val="24"/>
                <w:highlight w:val="none"/>
                <w:vertAlign w:val="baseline"/>
                <w:lang w:val="en-US" w:eastAsia="zh-CN"/>
              </w:rPr>
              <w:t>管道维修/米</w:t>
            </w:r>
          </w:p>
        </w:tc>
        <w:tc>
          <w:tcPr>
            <w:tcW w:w="945" w:type="dxa"/>
            <w:shd w:val="clear" w:color="auto" w:fill="auto"/>
            <w:vAlign w:val="center"/>
          </w:tcPr>
          <w:p w14:paraId="7352582F">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仿宋_GB2312" w:hAnsi="仿宋_GB2312" w:eastAsia="仿宋_GB2312" w:cs="仿宋_GB2312"/>
                <w:b/>
                <w:bCs/>
                <w:kern w:val="2"/>
                <w:sz w:val="24"/>
                <w:szCs w:val="24"/>
                <w:highlight w:val="none"/>
                <w:vertAlign w:val="baseline"/>
                <w:lang w:val="en-US" w:eastAsia="zh-CN" w:bidi="ar-SA"/>
              </w:rPr>
            </w:pPr>
            <w:r>
              <w:rPr>
                <w:rFonts w:hint="eastAsia" w:ascii="仿宋_GB2312" w:hAnsi="仿宋_GB2312" w:eastAsia="仿宋_GB2312" w:cs="仿宋_GB2312"/>
                <w:b/>
                <w:bCs/>
                <w:sz w:val="24"/>
                <w:szCs w:val="24"/>
                <w:highlight w:val="none"/>
                <w:vertAlign w:val="baseline"/>
                <w:lang w:val="en-US" w:eastAsia="zh-CN"/>
              </w:rPr>
              <w:t>混凝土垫层/米</w:t>
            </w:r>
          </w:p>
        </w:tc>
        <w:tc>
          <w:tcPr>
            <w:tcW w:w="1215" w:type="dxa"/>
            <w:shd w:val="clear" w:color="auto" w:fill="auto"/>
            <w:vAlign w:val="center"/>
          </w:tcPr>
          <w:p w14:paraId="563F50A2">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仿宋_GB2312" w:hAnsi="仿宋_GB2312" w:eastAsia="仿宋_GB2312" w:cs="仿宋_GB2312"/>
                <w:b/>
                <w:bCs/>
                <w:kern w:val="2"/>
                <w:sz w:val="24"/>
                <w:szCs w:val="24"/>
                <w:highlight w:val="none"/>
                <w:vertAlign w:val="baseline"/>
                <w:lang w:val="en-US" w:eastAsia="zh-CN" w:bidi="ar-SA"/>
              </w:rPr>
            </w:pPr>
            <w:r>
              <w:rPr>
                <w:rFonts w:hint="eastAsia" w:ascii="仿宋_GB2312" w:hAnsi="仿宋_GB2312" w:eastAsia="仿宋_GB2312" w:cs="仿宋_GB2312"/>
                <w:b/>
                <w:bCs/>
                <w:sz w:val="24"/>
                <w:szCs w:val="24"/>
                <w:highlight w:val="none"/>
                <w:vertAlign w:val="baseline"/>
                <w:lang w:val="en-US" w:eastAsia="zh-CN"/>
              </w:rPr>
              <w:t>混凝土填充/方（c25）</w:t>
            </w:r>
          </w:p>
        </w:tc>
        <w:tc>
          <w:tcPr>
            <w:tcW w:w="1065" w:type="dxa"/>
            <w:shd w:val="clear" w:color="auto" w:fill="auto"/>
            <w:vAlign w:val="center"/>
          </w:tcPr>
          <w:p w14:paraId="7F50BED1">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仿宋_GB2312" w:hAnsi="仿宋_GB2312" w:eastAsia="仿宋_GB2312" w:cs="仿宋_GB2312"/>
                <w:b/>
                <w:bCs/>
                <w:kern w:val="2"/>
                <w:sz w:val="24"/>
                <w:szCs w:val="24"/>
                <w:vertAlign w:val="baseline"/>
                <w:lang w:val="en-US" w:eastAsia="zh-CN" w:bidi="ar-SA"/>
              </w:rPr>
            </w:pPr>
            <w:r>
              <w:rPr>
                <w:rFonts w:hint="eastAsia" w:ascii="仿宋_GB2312" w:hAnsi="仿宋_GB2312" w:eastAsia="仿宋_GB2312" w:cs="仿宋_GB2312"/>
                <w:b/>
                <w:bCs/>
                <w:sz w:val="24"/>
                <w:szCs w:val="24"/>
                <w:vertAlign w:val="baseline"/>
                <w:lang w:val="en-US" w:eastAsia="zh-CN"/>
              </w:rPr>
              <w:t>连砂石回填/方</w:t>
            </w:r>
          </w:p>
        </w:tc>
        <w:tc>
          <w:tcPr>
            <w:tcW w:w="1080" w:type="dxa"/>
            <w:shd w:val="clear" w:color="auto" w:fill="auto"/>
            <w:vAlign w:val="center"/>
          </w:tcPr>
          <w:p w14:paraId="17DF49AE">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仿宋_GB2312" w:hAnsi="仿宋_GB2312" w:eastAsia="仿宋_GB2312" w:cs="仿宋_GB2312"/>
                <w:b/>
                <w:bCs/>
                <w:kern w:val="2"/>
                <w:sz w:val="24"/>
                <w:szCs w:val="24"/>
                <w:vertAlign w:val="baseline"/>
                <w:lang w:val="en-US" w:eastAsia="zh-CN" w:bidi="ar-SA"/>
              </w:rPr>
            </w:pPr>
            <w:r>
              <w:rPr>
                <w:rFonts w:hint="eastAsia" w:ascii="仿宋_GB2312" w:hAnsi="仿宋_GB2312" w:eastAsia="仿宋_GB2312" w:cs="仿宋_GB2312"/>
                <w:b/>
                <w:bCs/>
                <w:sz w:val="24"/>
                <w:szCs w:val="24"/>
                <w:vertAlign w:val="baseline"/>
                <w:lang w:val="en-US" w:eastAsia="zh-CN"/>
              </w:rPr>
              <w:t>土方回填/方</w:t>
            </w:r>
          </w:p>
        </w:tc>
      </w:tr>
      <w:tr w14:paraId="13CCA1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65" w:type="dxa"/>
            <w:shd w:val="clear" w:color="auto" w:fill="auto"/>
            <w:vAlign w:val="center"/>
          </w:tcPr>
          <w:p w14:paraId="76386B66">
            <w:pPr>
              <w:pStyle w:val="2"/>
              <w:jc w:val="center"/>
              <w:rPr>
                <w:rFonts w:hint="default" w:ascii="仿宋_GB2312" w:hAnsi="仿宋_GB2312" w:eastAsia="仿宋_GB2312" w:cs="仿宋_GB2312"/>
                <w:kern w:val="2"/>
                <w:sz w:val="24"/>
                <w:szCs w:val="24"/>
                <w:vertAlign w:val="baseline"/>
                <w:lang w:val="en-US" w:eastAsia="zh-CN" w:bidi="ar-SA"/>
              </w:rPr>
            </w:pPr>
            <w:r>
              <w:rPr>
                <w:rFonts w:hint="eastAsia" w:ascii="仿宋_GB2312" w:hAnsi="仿宋_GB2312" w:eastAsia="仿宋_GB2312" w:cs="仿宋_GB2312"/>
                <w:sz w:val="24"/>
                <w:szCs w:val="24"/>
                <w:vertAlign w:val="baseline"/>
                <w:lang w:val="en-US" w:eastAsia="zh-CN"/>
              </w:rPr>
              <w:t>230元</w:t>
            </w:r>
          </w:p>
        </w:tc>
        <w:tc>
          <w:tcPr>
            <w:tcW w:w="1200" w:type="dxa"/>
            <w:shd w:val="clear" w:color="auto" w:fill="auto"/>
            <w:vAlign w:val="center"/>
          </w:tcPr>
          <w:p w14:paraId="111F718F">
            <w:pPr>
              <w:pStyle w:val="2"/>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仿宋_GB2312" w:hAnsi="仿宋_GB2312" w:eastAsia="仿宋_GB2312" w:cs="仿宋_GB2312"/>
                <w:kern w:val="2"/>
                <w:sz w:val="24"/>
                <w:szCs w:val="24"/>
                <w:vertAlign w:val="baseline"/>
                <w:lang w:val="en-US" w:eastAsia="zh-CN" w:bidi="ar-SA"/>
              </w:rPr>
            </w:pPr>
            <w:r>
              <w:rPr>
                <w:rFonts w:hint="eastAsia" w:ascii="仿宋_GB2312" w:hAnsi="仿宋_GB2312" w:eastAsia="仿宋_GB2312" w:cs="仿宋_GB2312"/>
                <w:sz w:val="24"/>
                <w:szCs w:val="24"/>
                <w:vertAlign w:val="baseline"/>
                <w:lang w:val="en-US" w:eastAsia="zh-CN"/>
              </w:rPr>
              <w:t>220元（混凝土管）</w:t>
            </w:r>
          </w:p>
        </w:tc>
        <w:tc>
          <w:tcPr>
            <w:tcW w:w="1200" w:type="dxa"/>
            <w:shd w:val="clear" w:color="auto" w:fill="auto"/>
            <w:vAlign w:val="center"/>
          </w:tcPr>
          <w:p w14:paraId="2017871E">
            <w:pPr>
              <w:pStyle w:val="2"/>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仿宋_GB2312" w:hAnsi="仿宋_GB2312" w:eastAsia="仿宋_GB2312" w:cs="仿宋_GB2312"/>
                <w:kern w:val="2"/>
                <w:sz w:val="24"/>
                <w:szCs w:val="24"/>
                <w:vertAlign w:val="baseline"/>
                <w:lang w:val="en-US" w:eastAsia="zh-CN" w:bidi="ar-SA"/>
              </w:rPr>
            </w:pPr>
            <w:r>
              <w:rPr>
                <w:rFonts w:hint="eastAsia" w:ascii="仿宋_GB2312" w:hAnsi="仿宋_GB2312" w:eastAsia="仿宋_GB2312" w:cs="仿宋_GB2312"/>
                <w:sz w:val="24"/>
                <w:szCs w:val="24"/>
                <w:vertAlign w:val="baseline"/>
                <w:lang w:val="en-US" w:eastAsia="zh-CN"/>
              </w:rPr>
              <w:t>180元（波纹管）</w:t>
            </w:r>
          </w:p>
        </w:tc>
        <w:tc>
          <w:tcPr>
            <w:tcW w:w="945" w:type="dxa"/>
            <w:shd w:val="clear" w:color="auto" w:fill="auto"/>
            <w:vAlign w:val="center"/>
          </w:tcPr>
          <w:p w14:paraId="0B8F2DBE">
            <w:pPr>
              <w:pStyle w:val="2"/>
              <w:jc w:val="center"/>
              <w:rPr>
                <w:rFonts w:hint="default" w:ascii="仿宋_GB2312" w:hAnsi="仿宋_GB2312" w:eastAsia="仿宋_GB2312" w:cs="仿宋_GB2312"/>
                <w:kern w:val="2"/>
                <w:sz w:val="24"/>
                <w:szCs w:val="24"/>
                <w:vertAlign w:val="baseline"/>
                <w:lang w:val="en-US" w:eastAsia="zh-CN" w:bidi="ar-SA"/>
              </w:rPr>
            </w:pPr>
            <w:r>
              <w:rPr>
                <w:rFonts w:hint="eastAsia" w:ascii="仿宋_GB2312" w:hAnsi="仿宋_GB2312" w:eastAsia="仿宋_GB2312" w:cs="仿宋_GB2312"/>
                <w:sz w:val="24"/>
                <w:szCs w:val="24"/>
                <w:vertAlign w:val="baseline"/>
                <w:lang w:val="en-US" w:eastAsia="zh-CN"/>
              </w:rPr>
              <w:t>50元</w:t>
            </w:r>
          </w:p>
        </w:tc>
        <w:tc>
          <w:tcPr>
            <w:tcW w:w="1080" w:type="dxa"/>
            <w:shd w:val="clear" w:color="auto" w:fill="auto"/>
            <w:vAlign w:val="center"/>
          </w:tcPr>
          <w:p w14:paraId="79C20439">
            <w:pPr>
              <w:pStyle w:val="2"/>
              <w:jc w:val="center"/>
              <w:rPr>
                <w:rFonts w:hint="default" w:ascii="仿宋_GB2312" w:hAnsi="仿宋_GB2312" w:eastAsia="仿宋_GB2312" w:cs="仿宋_GB2312"/>
                <w:kern w:val="2"/>
                <w:sz w:val="24"/>
                <w:szCs w:val="24"/>
                <w:vertAlign w:val="baseline"/>
                <w:lang w:val="en-US" w:eastAsia="zh-CN" w:bidi="ar-SA"/>
              </w:rPr>
            </w:pPr>
            <w:r>
              <w:rPr>
                <w:rFonts w:hint="eastAsia" w:ascii="仿宋_GB2312" w:hAnsi="仿宋_GB2312" w:eastAsia="仿宋_GB2312" w:cs="仿宋_GB2312"/>
                <w:sz w:val="24"/>
                <w:szCs w:val="24"/>
                <w:vertAlign w:val="baseline"/>
                <w:lang w:val="en-US" w:eastAsia="zh-CN"/>
              </w:rPr>
              <w:t>300元</w:t>
            </w:r>
          </w:p>
        </w:tc>
        <w:tc>
          <w:tcPr>
            <w:tcW w:w="945" w:type="dxa"/>
            <w:shd w:val="clear" w:color="auto" w:fill="auto"/>
            <w:vAlign w:val="center"/>
          </w:tcPr>
          <w:p w14:paraId="79794E5B">
            <w:pPr>
              <w:pStyle w:val="2"/>
              <w:jc w:val="center"/>
              <w:rPr>
                <w:rFonts w:hint="eastAsia" w:ascii="仿宋_GB2312" w:hAnsi="仿宋_GB2312" w:eastAsia="仿宋_GB2312" w:cs="仿宋_GB2312"/>
                <w:kern w:val="2"/>
                <w:sz w:val="24"/>
                <w:szCs w:val="24"/>
                <w:vertAlign w:val="baseline"/>
                <w:lang w:val="en-US" w:eastAsia="zh-CN" w:bidi="ar-SA"/>
              </w:rPr>
            </w:pPr>
            <w:r>
              <w:rPr>
                <w:rFonts w:hint="eastAsia" w:ascii="仿宋_GB2312" w:hAnsi="仿宋_GB2312" w:eastAsia="仿宋_GB2312" w:cs="仿宋_GB2312"/>
                <w:sz w:val="24"/>
                <w:szCs w:val="24"/>
                <w:vertAlign w:val="baseline"/>
                <w:lang w:val="en-US" w:eastAsia="zh-CN"/>
              </w:rPr>
              <w:t>80元</w:t>
            </w:r>
          </w:p>
        </w:tc>
        <w:tc>
          <w:tcPr>
            <w:tcW w:w="1215" w:type="dxa"/>
            <w:shd w:val="clear" w:color="auto" w:fill="auto"/>
            <w:vAlign w:val="center"/>
          </w:tcPr>
          <w:p w14:paraId="2B3DC6D2">
            <w:pPr>
              <w:pStyle w:val="2"/>
              <w:jc w:val="center"/>
              <w:rPr>
                <w:rFonts w:hint="eastAsia" w:ascii="仿宋_GB2312" w:hAnsi="仿宋_GB2312" w:eastAsia="仿宋_GB2312" w:cs="仿宋_GB2312"/>
                <w:kern w:val="2"/>
                <w:sz w:val="24"/>
                <w:szCs w:val="24"/>
                <w:vertAlign w:val="baseline"/>
                <w:lang w:val="en-US" w:eastAsia="zh-CN" w:bidi="ar-SA"/>
              </w:rPr>
            </w:pPr>
            <w:r>
              <w:rPr>
                <w:rFonts w:hint="eastAsia" w:ascii="仿宋_GB2312" w:hAnsi="仿宋_GB2312" w:eastAsia="仿宋_GB2312" w:cs="仿宋_GB2312"/>
                <w:sz w:val="24"/>
                <w:szCs w:val="24"/>
                <w:vertAlign w:val="baseline"/>
                <w:lang w:val="en-US" w:eastAsia="zh-CN"/>
              </w:rPr>
              <w:t>672元</w:t>
            </w:r>
          </w:p>
        </w:tc>
        <w:tc>
          <w:tcPr>
            <w:tcW w:w="1065" w:type="dxa"/>
            <w:shd w:val="clear" w:color="auto" w:fill="auto"/>
            <w:vAlign w:val="center"/>
          </w:tcPr>
          <w:p w14:paraId="75392749">
            <w:pPr>
              <w:pStyle w:val="2"/>
              <w:jc w:val="center"/>
              <w:rPr>
                <w:rFonts w:hint="eastAsia" w:ascii="仿宋_GB2312" w:hAnsi="仿宋_GB2312" w:eastAsia="仿宋_GB2312" w:cs="仿宋_GB2312"/>
                <w:kern w:val="2"/>
                <w:sz w:val="24"/>
                <w:szCs w:val="24"/>
                <w:vertAlign w:val="baseline"/>
                <w:lang w:val="en-US" w:eastAsia="zh-CN" w:bidi="ar-SA"/>
              </w:rPr>
            </w:pPr>
            <w:r>
              <w:rPr>
                <w:rFonts w:hint="eastAsia" w:ascii="仿宋_GB2312" w:hAnsi="仿宋_GB2312" w:eastAsia="仿宋_GB2312" w:cs="仿宋_GB2312"/>
                <w:sz w:val="24"/>
                <w:szCs w:val="24"/>
                <w:vertAlign w:val="baseline"/>
                <w:lang w:val="en-US" w:eastAsia="zh-CN"/>
              </w:rPr>
              <w:t>336元</w:t>
            </w:r>
          </w:p>
        </w:tc>
        <w:tc>
          <w:tcPr>
            <w:tcW w:w="1080" w:type="dxa"/>
            <w:shd w:val="clear" w:color="auto" w:fill="auto"/>
            <w:vAlign w:val="center"/>
          </w:tcPr>
          <w:p w14:paraId="3B0B6E1F">
            <w:pPr>
              <w:pStyle w:val="2"/>
              <w:jc w:val="center"/>
              <w:rPr>
                <w:rFonts w:hint="eastAsia" w:ascii="仿宋_GB2312" w:hAnsi="仿宋_GB2312" w:eastAsia="仿宋_GB2312" w:cs="仿宋_GB2312"/>
                <w:kern w:val="2"/>
                <w:sz w:val="24"/>
                <w:szCs w:val="24"/>
                <w:vertAlign w:val="baseline"/>
                <w:lang w:val="en-US" w:eastAsia="zh-CN" w:bidi="ar-SA"/>
              </w:rPr>
            </w:pPr>
            <w:r>
              <w:rPr>
                <w:rFonts w:hint="eastAsia" w:ascii="仿宋_GB2312" w:hAnsi="仿宋_GB2312" w:eastAsia="仿宋_GB2312" w:cs="仿宋_GB2312"/>
                <w:sz w:val="24"/>
                <w:szCs w:val="24"/>
                <w:vertAlign w:val="baseline"/>
                <w:lang w:val="en-US" w:eastAsia="zh-CN"/>
              </w:rPr>
              <w:t>150元</w:t>
            </w:r>
          </w:p>
        </w:tc>
      </w:tr>
      <w:tr w14:paraId="4192F4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85" w:hRule="atLeast"/>
        </w:trPr>
        <w:tc>
          <w:tcPr>
            <w:tcW w:w="1065" w:type="dxa"/>
            <w:shd w:val="clear" w:color="auto" w:fill="auto"/>
            <w:vAlign w:val="center"/>
          </w:tcPr>
          <w:p w14:paraId="7E2981A0">
            <w:pPr>
              <w:pStyle w:val="2"/>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仿宋_GB2312" w:hAnsi="仿宋_GB2312" w:eastAsia="仿宋_GB2312" w:cs="仿宋_GB2312"/>
                <w:sz w:val="24"/>
                <w:szCs w:val="24"/>
                <w:vertAlign w:val="baseline"/>
                <w:lang w:val="en-US" w:eastAsia="zh-CN"/>
              </w:rPr>
            </w:pPr>
          </w:p>
        </w:tc>
        <w:tc>
          <w:tcPr>
            <w:tcW w:w="2400" w:type="dxa"/>
            <w:gridSpan w:val="2"/>
            <w:shd w:val="clear" w:color="auto" w:fill="auto"/>
            <w:vAlign w:val="center"/>
          </w:tcPr>
          <w:p w14:paraId="714938DD">
            <w:pPr>
              <w:pStyle w:val="2"/>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（院区至污水处理站段管径500mm、污水处理站至市政管道段管径300mm）</w:t>
            </w:r>
          </w:p>
        </w:tc>
        <w:tc>
          <w:tcPr>
            <w:tcW w:w="945" w:type="dxa"/>
            <w:shd w:val="clear" w:color="auto" w:fill="auto"/>
            <w:vAlign w:val="center"/>
          </w:tcPr>
          <w:p w14:paraId="79F46615">
            <w:pPr>
              <w:pStyle w:val="2"/>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仿宋_GB2312" w:hAnsi="仿宋_GB2312" w:eastAsia="仿宋_GB2312" w:cs="仿宋_GB2312"/>
                <w:sz w:val="24"/>
                <w:szCs w:val="24"/>
                <w:vertAlign w:val="baseline"/>
                <w:lang w:val="en-US" w:eastAsia="zh-CN"/>
              </w:rPr>
            </w:pPr>
          </w:p>
        </w:tc>
        <w:tc>
          <w:tcPr>
            <w:tcW w:w="1080" w:type="dxa"/>
            <w:shd w:val="clear" w:color="auto" w:fill="auto"/>
            <w:vAlign w:val="center"/>
          </w:tcPr>
          <w:p w14:paraId="6A89F1A2">
            <w:pPr>
              <w:pStyle w:val="2"/>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含打围、开挖、回填。</w:t>
            </w:r>
          </w:p>
        </w:tc>
        <w:tc>
          <w:tcPr>
            <w:tcW w:w="945" w:type="dxa"/>
            <w:shd w:val="clear" w:color="auto" w:fill="auto"/>
            <w:vAlign w:val="center"/>
          </w:tcPr>
          <w:p w14:paraId="0C06E128">
            <w:pPr>
              <w:pStyle w:val="2"/>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厚度为10cm</w:t>
            </w:r>
          </w:p>
        </w:tc>
        <w:tc>
          <w:tcPr>
            <w:tcW w:w="1215" w:type="dxa"/>
            <w:shd w:val="clear" w:color="auto" w:fill="auto"/>
            <w:vAlign w:val="center"/>
          </w:tcPr>
          <w:p w14:paraId="090FF8A7">
            <w:pPr>
              <w:pStyle w:val="2"/>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仿宋_GB2312" w:hAnsi="仿宋_GB2312" w:eastAsia="仿宋_GB2312" w:cs="仿宋_GB2312"/>
                <w:sz w:val="24"/>
                <w:szCs w:val="24"/>
                <w:vertAlign w:val="baseline"/>
                <w:lang w:val="en-US" w:eastAsia="zh-CN"/>
              </w:rPr>
            </w:pPr>
          </w:p>
        </w:tc>
        <w:tc>
          <w:tcPr>
            <w:tcW w:w="1065" w:type="dxa"/>
            <w:shd w:val="clear" w:color="auto" w:fill="auto"/>
            <w:vAlign w:val="center"/>
          </w:tcPr>
          <w:p w14:paraId="638A6FEE">
            <w:pPr>
              <w:pStyle w:val="2"/>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仿宋_GB2312" w:hAnsi="仿宋_GB2312" w:eastAsia="仿宋_GB2312" w:cs="仿宋_GB2312"/>
                <w:sz w:val="24"/>
                <w:szCs w:val="24"/>
                <w:vertAlign w:val="baseline"/>
                <w:lang w:val="en-US" w:eastAsia="zh-CN"/>
              </w:rPr>
            </w:pPr>
          </w:p>
        </w:tc>
        <w:tc>
          <w:tcPr>
            <w:tcW w:w="1080" w:type="dxa"/>
            <w:shd w:val="clear" w:color="auto" w:fill="auto"/>
            <w:vAlign w:val="center"/>
          </w:tcPr>
          <w:p w14:paraId="43C7DBCE">
            <w:pPr>
              <w:pStyle w:val="2"/>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仿宋_GB2312" w:hAnsi="仿宋_GB2312" w:eastAsia="仿宋_GB2312" w:cs="仿宋_GB2312"/>
                <w:sz w:val="24"/>
                <w:szCs w:val="24"/>
                <w:vertAlign w:val="baseline"/>
                <w:lang w:val="en-US" w:eastAsia="zh-CN"/>
              </w:rPr>
            </w:pPr>
          </w:p>
        </w:tc>
      </w:tr>
    </w:tbl>
    <w:p w14:paraId="29A0FF5C">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480" w:firstLineChars="200"/>
        <w:jc w:val="both"/>
        <w:textAlignment w:val="auto"/>
        <w:rPr>
          <w:rFonts w:hint="eastAsia" w:ascii="黑体" w:hAnsi="黑体" w:eastAsia="黑体" w:cs="黑体"/>
          <w:b w:val="0"/>
          <w:kern w:val="2"/>
          <w:sz w:val="24"/>
          <w:szCs w:val="24"/>
          <w:lang w:val="en-US" w:eastAsia="zh-CN" w:bidi="ar-SA"/>
        </w:rPr>
      </w:pPr>
      <w:r>
        <w:rPr>
          <w:rFonts w:hint="eastAsia" w:ascii="黑体" w:hAnsi="黑体" w:eastAsia="黑体" w:cs="黑体"/>
          <w:b w:val="0"/>
          <w:kern w:val="2"/>
          <w:sz w:val="24"/>
          <w:szCs w:val="24"/>
          <w:lang w:val="en-US" w:eastAsia="zh-CN" w:bidi="ar-SA"/>
        </w:rPr>
        <w:t>四、服务内容</w:t>
      </w:r>
    </w:p>
    <w:p w14:paraId="3E7D97E5">
      <w:pPr>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0" w:beforeAutospacing="0" w:after="120" w:afterAutospacing="0" w:line="30" w:lineRule="atLeast"/>
        <w:ind w:right="0" w:rightChars="0" w:firstLine="480" w:firstLineChars="200"/>
        <w:jc w:val="left"/>
        <w:rPr>
          <w:rFonts w:hint="eastAsia" w:ascii="仿宋_GB2312" w:hAnsi="仿宋_GB2312" w:eastAsia="仿宋_GB2312" w:cs="仿宋_GB2312"/>
          <w:i w:val="0"/>
          <w:iCs w:val="0"/>
          <w:caps w:val="0"/>
          <w:color w:val="000000"/>
          <w:spacing w:val="0"/>
          <w:kern w:val="0"/>
          <w:sz w:val="24"/>
          <w:szCs w:val="24"/>
          <w:highlight w:val="none"/>
          <w:lang w:val="en-US" w:eastAsia="zh-CN" w:bidi="ar"/>
        </w:rPr>
      </w:pPr>
      <w:r>
        <w:rPr>
          <w:rFonts w:hint="eastAsia" w:ascii="仿宋_GB2312" w:hAnsi="仿宋_GB2312" w:eastAsia="仿宋_GB2312" w:cs="仿宋_GB2312"/>
          <w:i w:val="0"/>
          <w:iCs w:val="0"/>
          <w:caps w:val="0"/>
          <w:color w:val="000000"/>
          <w:spacing w:val="0"/>
          <w:kern w:val="0"/>
          <w:sz w:val="24"/>
          <w:szCs w:val="24"/>
          <w:highlight w:val="none"/>
          <w:lang w:val="en-US" w:eastAsia="zh-CN" w:bidi="ar"/>
        </w:rPr>
        <w:t>（一）商家可根据实际情况进行现场踏勘，现场踏勘产生的一切费用由商家自理，院方不给予任何形式的经济和物资补偿。现场踏勘过程的人员安全问题由商家自负。</w:t>
      </w:r>
    </w:p>
    <w:p w14:paraId="668BE4AB">
      <w:pPr>
        <w:pStyle w:val="2"/>
        <w:numPr>
          <w:ilvl w:val="0"/>
          <w:numId w:val="0"/>
        </w:numPr>
        <w:ind w:leftChars="0" w:firstLine="480" w:firstLineChars="200"/>
        <w:rPr>
          <w:rFonts w:hint="default"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二）城后路院区污水站内污水井到市政管网段有长约15米的地下管网（该段管道距地面深约1.5米），污水无法正常排出，需对该段管道进行修复。开挖后，如出现空洞、沉降等其它潜在问题，需由服务商一并修复处理，检测及修复方式由服务商提供，管道维修后能满足污水处理站正常排污需求，所有施工后的路面须恢复完好，确保医院正常使用。</w:t>
      </w:r>
    </w:p>
    <w:p w14:paraId="5EFA43E1">
      <w:pPr>
        <w:pStyle w:val="2"/>
        <w:numPr>
          <w:ilvl w:val="0"/>
          <w:numId w:val="0"/>
        </w:numPr>
        <w:ind w:leftChars="0" w:firstLine="480" w:firstLineChars="200"/>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（三）</w:t>
      </w:r>
      <w:bookmarkStart w:id="3" w:name="OLE_LINK4"/>
      <w:r>
        <w:rPr>
          <w:rFonts w:hint="eastAsia" w:ascii="仿宋_GB2312" w:hAnsi="仿宋_GB2312" w:eastAsia="仿宋_GB2312" w:cs="仿宋_GB2312"/>
          <w:sz w:val="24"/>
          <w:szCs w:val="24"/>
          <w:lang w:val="en-US" w:eastAsia="zh-CN"/>
        </w:rPr>
        <w:t>需对城后路院区至污水处理站的地下污水管网</w:t>
      </w:r>
      <w:bookmarkEnd w:id="3"/>
      <w:r>
        <w:rPr>
          <w:rFonts w:hint="eastAsia" w:ascii="仿宋_GB2312" w:hAnsi="仿宋_GB2312" w:eastAsia="仿宋_GB2312" w:cs="仿宋_GB2312"/>
          <w:sz w:val="24"/>
          <w:szCs w:val="24"/>
          <w:lang w:val="en-US" w:eastAsia="zh-CN"/>
        </w:rPr>
        <w:t>进行检测并根据检测结果进行修复。修复后能确保院区内地下排污管网通畅，无渗漏。能满足医院正常排污使用需求，如检测、维修过程中对相关设施设备造成损坏，均由服务商负责恢复，污水站外公共路面施工须做好安全防护措施（如打围、标语提示等），如因防护措施不到位导致的安全事故均由施工方承担，服务商须根据施工需要配合院方完成办理占道施工相关手续，所有施工后的路面须恢复完好，确保医院正常使用。</w:t>
      </w:r>
    </w:p>
    <w:p w14:paraId="10B70B16">
      <w:pPr>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0" w:beforeAutospacing="0" w:after="120" w:afterAutospacing="0" w:line="30" w:lineRule="atLeast"/>
        <w:ind w:right="0" w:rightChars="0" w:firstLine="480" w:firstLineChars="200"/>
        <w:jc w:val="left"/>
        <w:rPr>
          <w:rFonts w:hint="eastAsia" w:ascii="仿宋_GB2312" w:hAnsi="仿宋_GB2312" w:eastAsia="仿宋_GB2312" w:cs="仿宋_GB2312"/>
          <w:sz w:val="24"/>
          <w:szCs w:val="24"/>
          <w:vertAlign w:val="baseline"/>
          <w:lang w:val="en-US" w:eastAsia="zh-CN"/>
        </w:rPr>
      </w:pPr>
      <w:r>
        <w:rPr>
          <w:rFonts w:hint="eastAsia" w:ascii="仿宋_GB2312" w:hAnsi="仿宋_GB2312" w:eastAsia="仿宋_GB2312" w:cs="仿宋_GB2312"/>
          <w:i w:val="0"/>
          <w:iCs w:val="0"/>
          <w:caps w:val="0"/>
          <w:color w:val="000000"/>
          <w:spacing w:val="0"/>
          <w:kern w:val="0"/>
          <w:sz w:val="24"/>
          <w:szCs w:val="24"/>
          <w:highlight w:val="none"/>
          <w:lang w:val="en-US" w:eastAsia="zh-CN" w:bidi="ar"/>
        </w:rPr>
        <w:t>（四）商家需按照招标要求进行单项报价</w:t>
      </w:r>
      <w:r>
        <w:rPr>
          <w:rFonts w:hint="eastAsia" w:ascii="仿宋_GB2312" w:hAnsi="仿宋_GB2312" w:eastAsia="仿宋_GB2312" w:cs="仿宋_GB2312"/>
          <w:b w:val="0"/>
          <w:bCs w:val="0"/>
          <w:i w:val="0"/>
          <w:iCs w:val="0"/>
          <w:caps w:val="0"/>
          <w:color w:val="000000"/>
          <w:spacing w:val="0"/>
          <w:kern w:val="0"/>
          <w:sz w:val="24"/>
          <w:szCs w:val="24"/>
          <w:highlight w:val="none"/>
          <w:lang w:val="en-US" w:eastAsia="zh-CN" w:bidi="ar"/>
        </w:rPr>
        <w:t>，单项报价不得超过单项最高限价，</w:t>
      </w:r>
      <w:r>
        <w:rPr>
          <w:rFonts w:hint="eastAsia" w:ascii="仿宋_GB2312" w:hAnsi="仿宋_GB2312" w:eastAsia="仿宋_GB2312" w:cs="仿宋_GB2312"/>
          <w:sz w:val="24"/>
          <w:szCs w:val="24"/>
          <w:highlight w:val="none"/>
          <w:vertAlign w:val="baseline"/>
          <w:lang w:val="en-US" w:eastAsia="zh-CN"/>
        </w:rPr>
        <w:t>单价包含人工、运输、税费、打围、建渣清运等包干价，</w:t>
      </w:r>
      <w:r>
        <w:rPr>
          <w:rFonts w:hint="eastAsia" w:ascii="仿宋_GB2312" w:hAnsi="仿宋_GB2312" w:eastAsia="仿宋_GB2312" w:cs="仿宋_GB2312"/>
          <w:sz w:val="24"/>
          <w:szCs w:val="24"/>
          <w:vertAlign w:val="baseline"/>
          <w:lang w:val="en-US" w:eastAsia="zh-CN"/>
        </w:rPr>
        <w:t>开挖后根据实际情况如产生报价以外的其余相关费用，均由中标施工方承担。</w:t>
      </w:r>
    </w:p>
    <w:p w14:paraId="08B0188C">
      <w:pPr>
        <w:pStyle w:val="2"/>
        <w:ind w:firstLine="480" w:firstLineChars="200"/>
        <w:rPr>
          <w:rFonts w:hint="default"/>
          <w:sz w:val="24"/>
          <w:szCs w:val="24"/>
          <w:lang w:val="en-US" w:eastAsia="zh-CN"/>
        </w:rPr>
      </w:pPr>
      <w:r>
        <w:rPr>
          <w:rFonts w:hint="eastAsia" w:ascii="仿宋_GB2312" w:hAnsi="仿宋_GB2312" w:eastAsia="仿宋_GB2312" w:cs="仿宋_GB2312"/>
          <w:sz w:val="24"/>
          <w:szCs w:val="24"/>
          <w:vertAlign w:val="baseline"/>
          <w:lang w:val="en-US" w:eastAsia="zh-CN"/>
        </w:rPr>
        <w:t>（五）施工过程中，如出现与院外人员发生纠纷问题，由服务商自行解决，如因纠纷造成项目进度滞后、阻工等情况，由服务商自行负责协调。</w:t>
      </w:r>
    </w:p>
    <w:p w14:paraId="47338F54">
      <w:pPr>
        <w:pStyle w:val="2"/>
        <w:ind w:firstLine="641"/>
        <w:rPr>
          <w:rFonts w:hint="default" w:ascii="仿宋_GB2312" w:hAnsi="仿宋_GB2312" w:eastAsia="仿宋_GB2312" w:cs="仿宋_GB2312"/>
          <w:i w:val="0"/>
          <w:iCs w:val="0"/>
          <w:caps w:val="0"/>
          <w:color w:val="000000"/>
          <w:spacing w:val="0"/>
          <w:kern w:val="0"/>
          <w:sz w:val="24"/>
          <w:szCs w:val="24"/>
          <w:highlight w:val="none"/>
          <w:lang w:val="en-US" w:eastAsia="zh-CN" w:bidi="ar"/>
        </w:rPr>
      </w:pPr>
      <w:r>
        <w:rPr>
          <w:rFonts w:hint="eastAsia" w:ascii="仿宋_GB2312" w:hAnsi="仿宋_GB2312" w:eastAsia="仿宋_GB2312" w:cs="仿宋_GB2312"/>
          <w:i w:val="0"/>
          <w:iCs w:val="0"/>
          <w:caps w:val="0"/>
          <w:color w:val="000000"/>
          <w:spacing w:val="0"/>
          <w:kern w:val="0"/>
          <w:sz w:val="24"/>
          <w:szCs w:val="24"/>
          <w:highlight w:val="none"/>
          <w:lang w:val="en-US" w:eastAsia="zh-CN" w:bidi="ar"/>
        </w:rPr>
        <w:t>（六）检测修复完成后，须配合院方进行联合验收，确保所有维修管网能正常使用。质保期一年，质保期内如出现质量问题或因质量问题引发的二次排污问题，将由服务商负责处理。</w:t>
      </w:r>
    </w:p>
    <w:p w14:paraId="57F0C51B">
      <w:pPr>
        <w:pStyle w:val="2"/>
        <w:ind w:firstLine="640"/>
        <w:rPr>
          <w:rFonts w:hint="eastAsia" w:ascii="仿宋_GB2312" w:hAnsi="仿宋_GB2312" w:eastAsia="仿宋_GB2312" w:cs="仿宋_GB2312"/>
          <w:i w:val="0"/>
          <w:iCs w:val="0"/>
          <w:caps w:val="0"/>
          <w:color w:val="000000"/>
          <w:spacing w:val="0"/>
          <w:kern w:val="0"/>
          <w:sz w:val="24"/>
          <w:szCs w:val="24"/>
          <w:highlight w:val="none"/>
          <w:lang w:val="en-US" w:eastAsia="zh-CN" w:bidi="ar"/>
        </w:rPr>
      </w:pPr>
      <w:r>
        <w:rPr>
          <w:rFonts w:hint="eastAsia" w:ascii="仿宋_GB2312" w:hAnsi="仿宋_GB2312" w:eastAsia="仿宋_GB2312" w:cs="仿宋_GB2312"/>
          <w:i w:val="0"/>
          <w:iCs w:val="0"/>
          <w:caps w:val="0"/>
          <w:color w:val="000000"/>
          <w:spacing w:val="0"/>
          <w:kern w:val="0"/>
          <w:sz w:val="24"/>
          <w:szCs w:val="24"/>
          <w:highlight w:val="none"/>
          <w:lang w:val="en-US" w:eastAsia="zh-CN" w:bidi="ar"/>
        </w:rPr>
        <w:t>（七）施工工期：签订合同后15日内完成。</w:t>
      </w:r>
    </w:p>
    <w:p w14:paraId="6E091E32">
      <w:pPr>
        <w:pStyle w:val="2"/>
        <w:ind w:firstLine="640"/>
        <w:rPr>
          <w:rFonts w:hint="default" w:ascii="仿宋_GB2312" w:hAnsi="仿宋_GB2312" w:eastAsia="仿宋_GB2312" w:cs="仿宋_GB2312"/>
          <w:i w:val="0"/>
          <w:iCs w:val="0"/>
          <w:caps w:val="0"/>
          <w:color w:val="000000"/>
          <w:spacing w:val="0"/>
          <w:kern w:val="0"/>
          <w:sz w:val="24"/>
          <w:szCs w:val="24"/>
          <w:highlight w:val="none"/>
          <w:lang w:val="en-US" w:eastAsia="zh-CN" w:bidi="ar"/>
        </w:rPr>
      </w:pPr>
      <w:r>
        <w:rPr>
          <w:rFonts w:hint="eastAsia" w:ascii="仿宋_GB2312" w:hAnsi="仿宋_GB2312" w:eastAsia="仿宋_GB2312" w:cs="仿宋_GB2312"/>
          <w:i w:val="0"/>
          <w:iCs w:val="0"/>
          <w:caps w:val="0"/>
          <w:color w:val="000000"/>
          <w:spacing w:val="0"/>
          <w:kern w:val="0"/>
          <w:sz w:val="24"/>
          <w:szCs w:val="24"/>
          <w:highlight w:val="none"/>
          <w:lang w:val="en-US" w:eastAsia="zh-CN" w:bidi="ar"/>
        </w:rPr>
        <w:t>（八）服务商进场施工前，须与医院签订三方安全协议，检测施工期间的人员安全问题由服务商自负。</w:t>
      </w:r>
    </w:p>
    <w:p w14:paraId="1DED0270">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480" w:firstLineChars="200"/>
        <w:jc w:val="both"/>
        <w:textAlignment w:val="auto"/>
        <w:rPr>
          <w:rFonts w:hint="default" w:ascii="黑体" w:hAnsi="黑体" w:eastAsia="黑体" w:cs="黑体"/>
          <w:b w:val="0"/>
          <w:kern w:val="2"/>
          <w:sz w:val="24"/>
          <w:szCs w:val="24"/>
          <w:lang w:val="en-US" w:eastAsia="zh-CN" w:bidi="ar-SA"/>
        </w:rPr>
      </w:pPr>
      <w:r>
        <w:rPr>
          <w:rFonts w:hint="eastAsia" w:ascii="黑体" w:hAnsi="黑体" w:eastAsia="黑体" w:cs="黑体"/>
          <w:b w:val="0"/>
          <w:kern w:val="2"/>
          <w:sz w:val="24"/>
          <w:szCs w:val="24"/>
          <w:lang w:val="en-US" w:eastAsia="zh-CN" w:bidi="ar-SA"/>
        </w:rPr>
        <w:t>五、付款</w:t>
      </w:r>
    </w:p>
    <w:p w14:paraId="0AA6A3E5">
      <w:pPr>
        <w:pStyle w:val="2"/>
        <w:rPr>
          <w:rFonts w:hint="default" w:ascii="仿宋_GB2312" w:hAnsi="仿宋_GB2312" w:eastAsia="仿宋_GB2312" w:cs="仿宋_GB2312"/>
          <w:i w:val="0"/>
          <w:iCs w:val="0"/>
          <w:caps w:val="0"/>
          <w:color w:val="000000"/>
          <w:spacing w:val="0"/>
          <w:kern w:val="0"/>
          <w:sz w:val="24"/>
          <w:szCs w:val="24"/>
          <w:highlight w:val="none"/>
          <w:lang w:val="en-US" w:eastAsia="zh-CN" w:bidi="ar"/>
        </w:rPr>
      </w:pPr>
      <w:r>
        <w:rPr>
          <w:rFonts w:hint="eastAsia" w:ascii="黑体" w:hAnsi="黑体" w:eastAsia="黑体" w:cs="黑体"/>
          <w:sz w:val="24"/>
          <w:szCs w:val="24"/>
          <w:highlight w:val="none"/>
          <w:lang w:val="en-US" w:eastAsia="zh-CN"/>
        </w:rPr>
        <w:t xml:space="preserve">    </w:t>
      </w:r>
      <w:r>
        <w:rPr>
          <w:rFonts w:hint="eastAsia" w:ascii="仿宋_GB2312" w:hAnsi="仿宋_GB2312" w:eastAsia="仿宋_GB2312" w:cs="仿宋_GB2312"/>
          <w:i w:val="0"/>
          <w:iCs w:val="0"/>
          <w:caps w:val="0"/>
          <w:color w:val="000000"/>
          <w:spacing w:val="0"/>
          <w:kern w:val="0"/>
          <w:sz w:val="24"/>
          <w:szCs w:val="24"/>
          <w:highlight w:val="none"/>
          <w:lang w:val="en-US" w:eastAsia="zh-CN" w:bidi="ar"/>
        </w:rPr>
        <w:t>签订合同后，服务商在接到院方通知的3日内进场，完成施工后，须与院方共同完成验收并确定施工方量，通过我院联合验收后，供应商请款时应向采购人提供合法有效完整的增值税发票及凭证资料，达到付款条件起30日内，支付合同总金额的90%。质保期满后，服务商请款时应向采购人提供合法有效完整的增值税发票及凭证资料，达到付款条件起30日内，支付剩余10%。</w:t>
      </w:r>
    </w:p>
    <w:p w14:paraId="29B1AA82">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480" w:firstLineChars="200"/>
        <w:jc w:val="both"/>
        <w:textAlignment w:val="auto"/>
        <w:rPr>
          <w:rFonts w:hint="eastAsia" w:ascii="黑体" w:hAnsi="黑体" w:eastAsia="黑体" w:cs="黑体"/>
          <w:b w:val="0"/>
          <w:kern w:val="2"/>
          <w:sz w:val="24"/>
          <w:szCs w:val="24"/>
          <w:lang w:val="en-US" w:eastAsia="zh-CN" w:bidi="ar-SA"/>
        </w:rPr>
      </w:pPr>
      <w:r>
        <w:rPr>
          <w:rFonts w:hint="eastAsia" w:ascii="黑体" w:hAnsi="黑体" w:eastAsia="黑体" w:cs="黑体"/>
          <w:b w:val="0"/>
          <w:kern w:val="2"/>
          <w:sz w:val="24"/>
          <w:szCs w:val="24"/>
          <w:lang w:val="en-US" w:eastAsia="zh-CN" w:bidi="ar-SA"/>
        </w:rPr>
        <w:t>六、报价模板</w:t>
      </w:r>
    </w:p>
    <w:tbl>
      <w:tblPr>
        <w:tblStyle w:val="4"/>
        <w:tblW w:w="6471" w:type="dxa"/>
        <w:tblInd w:w="9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autofit"/>
        <w:tblCellMar>
          <w:top w:w="0" w:type="dxa"/>
          <w:left w:w="108" w:type="dxa"/>
          <w:bottom w:w="0" w:type="dxa"/>
          <w:right w:w="108" w:type="dxa"/>
        </w:tblCellMar>
      </w:tblPr>
      <w:tblGrid>
        <w:gridCol w:w="1080"/>
        <w:gridCol w:w="1314"/>
        <w:gridCol w:w="1314"/>
        <w:gridCol w:w="1302"/>
        <w:gridCol w:w="1557"/>
      </w:tblGrid>
      <w:tr w14:paraId="4B18CB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1080" w:type="dxa"/>
            <w:shd w:val="clear" w:color="auto" w:fill="auto"/>
            <w:noWrap/>
            <w:vAlign w:val="center"/>
          </w:tcPr>
          <w:p w14:paraId="67B06720">
            <w:pPr>
              <w:keepNext w:val="0"/>
              <w:keepLines w:val="0"/>
              <w:widowControl/>
              <w:suppressLineNumbers w:val="0"/>
              <w:jc w:val="center"/>
              <w:textAlignment w:val="center"/>
              <w:rPr>
                <w:rFonts w:hint="eastAsia" w:ascii="仿宋_GB2312" w:hAnsi="宋体" w:eastAsia="仿宋_GB2312" w:cs="仿宋_GB2312"/>
                <w:b/>
                <w:bCs/>
                <w:i w:val="0"/>
                <w:iCs w:val="0"/>
                <w:color w:val="000000"/>
                <w:kern w:val="0"/>
                <w:sz w:val="24"/>
                <w:szCs w:val="24"/>
                <w:u w:val="none"/>
                <w:lang w:val="en-US" w:eastAsia="zh-CN" w:bidi="ar"/>
              </w:rPr>
            </w:pPr>
            <w:r>
              <w:rPr>
                <w:rFonts w:hint="eastAsia" w:ascii="仿宋_GB2312" w:hAnsi="宋体" w:eastAsia="仿宋_GB2312" w:cs="仿宋_GB2312"/>
                <w:b/>
                <w:bCs/>
                <w:i w:val="0"/>
                <w:iCs w:val="0"/>
                <w:color w:val="000000"/>
                <w:kern w:val="0"/>
                <w:sz w:val="24"/>
                <w:szCs w:val="24"/>
                <w:u w:val="none"/>
                <w:lang w:val="en-US" w:eastAsia="zh-CN" w:bidi="ar"/>
              </w:rPr>
              <w:t>序号</w:t>
            </w:r>
          </w:p>
        </w:tc>
        <w:tc>
          <w:tcPr>
            <w:tcW w:w="2628" w:type="dxa"/>
            <w:gridSpan w:val="2"/>
            <w:shd w:val="clear" w:color="auto" w:fill="auto"/>
            <w:noWrap/>
            <w:vAlign w:val="center"/>
          </w:tcPr>
          <w:p w14:paraId="1CB70ED7">
            <w:pPr>
              <w:keepNext w:val="0"/>
              <w:keepLines w:val="0"/>
              <w:widowControl/>
              <w:suppressLineNumbers w:val="0"/>
              <w:jc w:val="center"/>
              <w:textAlignment w:val="center"/>
              <w:rPr>
                <w:rFonts w:hint="eastAsia" w:ascii="仿宋_GB2312" w:hAnsi="宋体" w:eastAsia="仿宋_GB2312" w:cs="仿宋_GB2312"/>
                <w:b/>
                <w:bCs/>
                <w:i w:val="0"/>
                <w:iCs w:val="0"/>
                <w:color w:val="000000"/>
                <w:kern w:val="0"/>
                <w:sz w:val="24"/>
                <w:szCs w:val="24"/>
                <w:u w:val="none"/>
                <w:lang w:val="en-US" w:eastAsia="zh-CN" w:bidi="ar"/>
              </w:rPr>
            </w:pPr>
            <w:r>
              <w:rPr>
                <w:rFonts w:hint="eastAsia" w:ascii="仿宋_GB2312" w:hAnsi="宋体" w:eastAsia="仿宋_GB2312" w:cs="仿宋_GB2312"/>
                <w:b/>
                <w:bCs/>
                <w:i w:val="0"/>
                <w:iCs w:val="0"/>
                <w:color w:val="000000"/>
                <w:kern w:val="0"/>
                <w:sz w:val="24"/>
                <w:szCs w:val="24"/>
                <w:u w:val="none"/>
                <w:lang w:val="en-US" w:eastAsia="zh-CN" w:bidi="ar"/>
              </w:rPr>
              <w:t>名称</w:t>
            </w:r>
          </w:p>
        </w:tc>
        <w:tc>
          <w:tcPr>
            <w:tcW w:w="1206" w:type="dxa"/>
            <w:shd w:val="clear" w:color="auto" w:fill="auto"/>
            <w:noWrap/>
            <w:vAlign w:val="center"/>
          </w:tcPr>
          <w:p w14:paraId="4C448C72">
            <w:pPr>
              <w:keepNext w:val="0"/>
              <w:keepLines w:val="0"/>
              <w:widowControl/>
              <w:suppressLineNumbers w:val="0"/>
              <w:jc w:val="center"/>
              <w:textAlignment w:val="center"/>
              <w:rPr>
                <w:rFonts w:hint="eastAsia" w:ascii="仿宋_GB2312" w:hAnsi="宋体" w:eastAsia="仿宋_GB2312" w:cs="仿宋_GB2312"/>
                <w:b/>
                <w:bCs/>
                <w:i w:val="0"/>
                <w:iCs w:val="0"/>
                <w:color w:val="000000"/>
                <w:kern w:val="0"/>
                <w:sz w:val="24"/>
                <w:szCs w:val="24"/>
                <w:u w:val="none"/>
                <w:lang w:val="en-US" w:eastAsia="zh-CN" w:bidi="ar"/>
              </w:rPr>
            </w:pPr>
            <w:r>
              <w:rPr>
                <w:rFonts w:hint="eastAsia" w:ascii="仿宋_GB2312" w:hAnsi="宋体" w:eastAsia="仿宋_GB2312" w:cs="仿宋_GB2312"/>
                <w:b/>
                <w:bCs/>
                <w:i w:val="0"/>
                <w:iCs w:val="0"/>
                <w:color w:val="000000"/>
                <w:kern w:val="0"/>
                <w:sz w:val="24"/>
                <w:szCs w:val="24"/>
                <w:u w:val="none"/>
                <w:lang w:val="en-US" w:eastAsia="zh-CN" w:bidi="ar"/>
              </w:rPr>
              <w:t>单位</w:t>
            </w:r>
          </w:p>
        </w:tc>
        <w:tc>
          <w:tcPr>
            <w:tcW w:w="1557" w:type="dxa"/>
            <w:shd w:val="clear" w:color="auto" w:fill="auto"/>
            <w:noWrap/>
            <w:vAlign w:val="center"/>
          </w:tcPr>
          <w:p w14:paraId="51EDC712">
            <w:pPr>
              <w:keepNext w:val="0"/>
              <w:keepLines w:val="0"/>
              <w:widowControl/>
              <w:suppressLineNumbers w:val="0"/>
              <w:jc w:val="center"/>
              <w:textAlignment w:val="center"/>
              <w:rPr>
                <w:rFonts w:hint="default" w:ascii="仿宋_GB2312" w:hAnsi="宋体" w:eastAsia="仿宋_GB2312" w:cs="仿宋_GB2312"/>
                <w:b/>
                <w:bCs/>
                <w:i w:val="0"/>
                <w:iCs w:val="0"/>
                <w:color w:val="000000"/>
                <w:kern w:val="0"/>
                <w:sz w:val="24"/>
                <w:szCs w:val="24"/>
                <w:u w:val="none"/>
                <w:lang w:val="en-US" w:eastAsia="zh-CN" w:bidi="ar"/>
              </w:rPr>
            </w:pPr>
            <w:r>
              <w:rPr>
                <w:rFonts w:hint="eastAsia" w:ascii="仿宋_GB2312" w:hAnsi="宋体" w:eastAsia="仿宋_GB2312" w:cs="仿宋_GB2312"/>
                <w:b/>
                <w:bCs/>
                <w:i w:val="0"/>
                <w:iCs w:val="0"/>
                <w:color w:val="000000"/>
                <w:kern w:val="0"/>
                <w:sz w:val="24"/>
                <w:szCs w:val="24"/>
                <w:u w:val="none"/>
                <w:lang w:val="en-US" w:eastAsia="zh-CN" w:bidi="ar"/>
              </w:rPr>
              <w:t>单价（元）</w:t>
            </w:r>
          </w:p>
        </w:tc>
      </w:tr>
      <w:tr w14:paraId="40650C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570" w:hRule="atLeast"/>
        </w:trPr>
        <w:tc>
          <w:tcPr>
            <w:tcW w:w="0" w:type="auto"/>
            <w:shd w:val="clear" w:color="auto" w:fill="auto"/>
            <w:noWrap/>
            <w:vAlign w:val="center"/>
          </w:tcPr>
          <w:p w14:paraId="48409291">
            <w:pPr>
              <w:keepNext w:val="0"/>
              <w:keepLines w:val="0"/>
              <w:widowControl/>
              <w:suppressLineNumbers w:val="0"/>
              <w:jc w:val="center"/>
              <w:textAlignment w:val="center"/>
              <w:rPr>
                <w:rFonts w:hint="eastAsia" w:ascii="仿宋_GB2312" w:hAnsi="宋体" w:eastAsia="仿宋_GB2312" w:cs="仿宋_GB2312"/>
                <w:b/>
                <w:bCs/>
                <w:i w:val="0"/>
                <w:iCs w:val="0"/>
                <w:color w:val="000000"/>
                <w:kern w:val="0"/>
                <w:sz w:val="24"/>
                <w:szCs w:val="24"/>
                <w:u w:val="none"/>
                <w:lang w:val="en-US" w:eastAsia="zh-CN" w:bidi="ar"/>
              </w:rPr>
            </w:pPr>
            <w:r>
              <w:rPr>
                <w:rFonts w:hint="eastAsia" w:ascii="仿宋_GB2312" w:hAnsi="宋体" w:eastAsia="仿宋_GB2312" w:cs="仿宋_GB2312"/>
                <w:b/>
                <w:bCs/>
                <w:i w:val="0"/>
                <w:iCs w:val="0"/>
                <w:color w:val="000000"/>
                <w:kern w:val="0"/>
                <w:sz w:val="24"/>
                <w:szCs w:val="24"/>
                <w:u w:val="none"/>
                <w:lang w:val="en-US" w:eastAsia="zh-CN" w:bidi="ar"/>
              </w:rPr>
              <w:t>1</w:t>
            </w:r>
          </w:p>
        </w:tc>
        <w:tc>
          <w:tcPr>
            <w:tcW w:w="0" w:type="auto"/>
            <w:gridSpan w:val="2"/>
            <w:shd w:val="clear" w:color="auto" w:fill="auto"/>
            <w:noWrap/>
            <w:vAlign w:val="center"/>
          </w:tcPr>
          <w:p w14:paraId="7EA3F641">
            <w:pPr>
              <w:keepNext w:val="0"/>
              <w:keepLines w:val="0"/>
              <w:widowControl/>
              <w:suppressLineNumbers w:val="0"/>
              <w:jc w:val="center"/>
              <w:textAlignment w:val="center"/>
              <w:rPr>
                <w:rFonts w:hint="default" w:ascii="仿宋_GB2312" w:hAnsi="宋体" w:eastAsia="仿宋_GB2312" w:cs="仿宋_GB2312"/>
                <w:b/>
                <w:bCs/>
                <w:i w:val="0"/>
                <w:iCs w:val="0"/>
                <w:color w:val="000000"/>
                <w:kern w:val="0"/>
                <w:sz w:val="24"/>
                <w:szCs w:val="24"/>
                <w:u w:val="none"/>
                <w:lang w:val="en-US" w:eastAsia="zh-CN" w:bidi="ar"/>
              </w:rPr>
            </w:pPr>
            <w:r>
              <w:rPr>
                <w:rFonts w:hint="default" w:ascii="仿宋_GB2312" w:hAnsi="宋体" w:eastAsia="仿宋_GB2312" w:cs="仿宋_GB2312"/>
                <w:b/>
                <w:bCs/>
                <w:i w:val="0"/>
                <w:iCs w:val="0"/>
                <w:color w:val="000000"/>
                <w:kern w:val="0"/>
                <w:sz w:val="24"/>
                <w:szCs w:val="24"/>
                <w:u w:val="none"/>
                <w:lang w:val="en-US" w:eastAsia="zh-CN" w:bidi="ar"/>
              </w:rPr>
              <w:t>土方开挖</w:t>
            </w:r>
          </w:p>
        </w:tc>
        <w:tc>
          <w:tcPr>
            <w:tcW w:w="0" w:type="auto"/>
            <w:shd w:val="clear" w:color="auto" w:fill="auto"/>
            <w:noWrap/>
            <w:vAlign w:val="center"/>
          </w:tcPr>
          <w:p w14:paraId="12CAEC0C">
            <w:pPr>
              <w:keepNext w:val="0"/>
              <w:keepLines w:val="0"/>
              <w:widowControl/>
              <w:suppressLineNumbers w:val="0"/>
              <w:jc w:val="center"/>
              <w:textAlignment w:val="center"/>
              <w:rPr>
                <w:rFonts w:hint="eastAsia" w:ascii="仿宋_GB2312" w:hAnsi="宋体" w:eastAsia="仿宋_GB2312" w:cs="仿宋_GB2312"/>
                <w:b/>
                <w:bCs/>
                <w:i w:val="0"/>
                <w:iCs w:val="0"/>
                <w:color w:val="000000"/>
                <w:kern w:val="0"/>
                <w:sz w:val="24"/>
                <w:szCs w:val="24"/>
                <w:u w:val="none"/>
                <w:lang w:val="en-US" w:eastAsia="zh-CN" w:bidi="ar"/>
              </w:rPr>
            </w:pPr>
            <w:r>
              <w:rPr>
                <w:rFonts w:hint="eastAsia" w:ascii="仿宋_GB2312" w:hAnsi="宋体" w:eastAsia="仿宋_GB2312" w:cs="仿宋_GB2312"/>
                <w:b/>
                <w:bCs/>
                <w:i w:val="0"/>
                <w:iCs w:val="0"/>
                <w:color w:val="000000"/>
                <w:kern w:val="0"/>
                <w:sz w:val="24"/>
                <w:szCs w:val="24"/>
                <w:u w:val="none"/>
                <w:lang w:val="en-US" w:eastAsia="zh-CN" w:bidi="ar"/>
              </w:rPr>
              <w:t>方</w:t>
            </w:r>
          </w:p>
        </w:tc>
        <w:tc>
          <w:tcPr>
            <w:tcW w:w="1557" w:type="dxa"/>
            <w:shd w:val="clear" w:color="auto" w:fill="auto"/>
            <w:noWrap/>
            <w:vAlign w:val="center"/>
          </w:tcPr>
          <w:p w14:paraId="2897E6D1">
            <w:pPr>
              <w:keepNext w:val="0"/>
              <w:keepLines w:val="0"/>
              <w:widowControl/>
              <w:suppressLineNumbers w:val="0"/>
              <w:jc w:val="center"/>
              <w:textAlignment w:val="center"/>
              <w:rPr>
                <w:rFonts w:hint="eastAsia" w:ascii="仿宋_GB2312" w:hAnsi="宋体" w:eastAsia="仿宋_GB2312" w:cs="仿宋_GB2312"/>
                <w:b/>
                <w:bCs/>
                <w:i w:val="0"/>
                <w:iCs w:val="0"/>
                <w:color w:val="000000"/>
                <w:kern w:val="0"/>
                <w:sz w:val="24"/>
                <w:szCs w:val="24"/>
                <w:u w:val="none"/>
                <w:lang w:val="en-US" w:eastAsia="zh-CN" w:bidi="ar"/>
              </w:rPr>
            </w:pPr>
          </w:p>
        </w:tc>
      </w:tr>
      <w:tr w14:paraId="674180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54" w:hRule="atLeast"/>
        </w:trPr>
        <w:tc>
          <w:tcPr>
            <w:tcW w:w="0" w:type="auto"/>
            <w:vMerge w:val="restart"/>
            <w:shd w:val="clear" w:color="auto" w:fill="auto"/>
            <w:noWrap/>
            <w:vAlign w:val="center"/>
          </w:tcPr>
          <w:p w14:paraId="14CABBCE">
            <w:pPr>
              <w:keepNext w:val="0"/>
              <w:keepLines w:val="0"/>
              <w:widowControl/>
              <w:suppressLineNumbers w:val="0"/>
              <w:jc w:val="center"/>
              <w:textAlignment w:val="center"/>
              <w:rPr>
                <w:rFonts w:hint="eastAsia" w:ascii="仿宋_GB2312" w:hAnsi="宋体" w:eastAsia="仿宋_GB2312" w:cs="仿宋_GB2312"/>
                <w:b/>
                <w:bCs/>
                <w:i w:val="0"/>
                <w:iCs w:val="0"/>
                <w:color w:val="000000"/>
                <w:kern w:val="0"/>
                <w:sz w:val="24"/>
                <w:szCs w:val="24"/>
                <w:u w:val="none"/>
                <w:lang w:val="en-US" w:eastAsia="zh-CN" w:bidi="ar"/>
              </w:rPr>
            </w:pPr>
            <w:r>
              <w:rPr>
                <w:rFonts w:hint="eastAsia" w:ascii="仿宋_GB2312" w:hAnsi="宋体" w:eastAsia="仿宋_GB2312" w:cs="仿宋_GB2312"/>
                <w:b/>
                <w:bCs/>
                <w:i w:val="0"/>
                <w:iCs w:val="0"/>
                <w:color w:val="000000"/>
                <w:kern w:val="0"/>
                <w:sz w:val="24"/>
                <w:szCs w:val="24"/>
                <w:u w:val="none"/>
                <w:lang w:val="en-US" w:eastAsia="zh-CN" w:bidi="ar"/>
              </w:rPr>
              <w:t>2</w:t>
            </w:r>
          </w:p>
        </w:tc>
        <w:tc>
          <w:tcPr>
            <w:tcW w:w="1314" w:type="dxa"/>
            <w:vMerge w:val="restart"/>
            <w:shd w:val="clear" w:color="auto" w:fill="auto"/>
            <w:noWrap/>
            <w:vAlign w:val="center"/>
          </w:tcPr>
          <w:p w14:paraId="5C0C234C">
            <w:pPr>
              <w:keepNext w:val="0"/>
              <w:keepLines w:val="0"/>
              <w:widowControl/>
              <w:suppressLineNumbers w:val="0"/>
              <w:jc w:val="center"/>
              <w:textAlignment w:val="center"/>
              <w:rPr>
                <w:rFonts w:hint="default" w:ascii="仿宋_GB2312" w:hAnsi="宋体" w:eastAsia="仿宋_GB2312" w:cs="仿宋_GB2312"/>
                <w:b/>
                <w:bCs/>
                <w:i w:val="0"/>
                <w:iCs w:val="0"/>
                <w:color w:val="000000"/>
                <w:kern w:val="0"/>
                <w:sz w:val="24"/>
                <w:szCs w:val="24"/>
                <w:u w:val="none"/>
                <w:lang w:val="en-US" w:eastAsia="zh-CN" w:bidi="ar"/>
              </w:rPr>
            </w:pPr>
            <w:r>
              <w:rPr>
                <w:rFonts w:hint="default" w:ascii="仿宋_GB2312" w:hAnsi="宋体" w:eastAsia="仿宋_GB2312" w:cs="仿宋_GB2312"/>
                <w:b/>
                <w:bCs/>
                <w:i w:val="0"/>
                <w:iCs w:val="0"/>
                <w:color w:val="000000"/>
                <w:kern w:val="0"/>
                <w:sz w:val="24"/>
                <w:szCs w:val="24"/>
                <w:u w:val="none"/>
                <w:lang w:val="en-US" w:eastAsia="zh-CN" w:bidi="ar"/>
              </w:rPr>
              <w:t>管道更换</w:t>
            </w:r>
          </w:p>
        </w:tc>
        <w:tc>
          <w:tcPr>
            <w:tcW w:w="1314" w:type="dxa"/>
            <w:shd w:val="clear" w:color="auto" w:fill="auto"/>
            <w:noWrap/>
            <w:vAlign w:val="center"/>
          </w:tcPr>
          <w:p w14:paraId="5465AD8B">
            <w:pPr>
              <w:keepNext w:val="0"/>
              <w:keepLines w:val="0"/>
              <w:widowControl/>
              <w:suppressLineNumbers w:val="0"/>
              <w:jc w:val="center"/>
              <w:textAlignment w:val="center"/>
              <w:rPr>
                <w:rFonts w:hint="default" w:ascii="仿宋_GB2312" w:hAnsi="宋体" w:eastAsia="仿宋_GB2312" w:cs="仿宋_GB2312"/>
                <w:b/>
                <w:bCs/>
                <w:i w:val="0"/>
                <w:iCs w:val="0"/>
                <w:color w:val="000000"/>
                <w:kern w:val="0"/>
                <w:sz w:val="24"/>
                <w:szCs w:val="24"/>
                <w:u w:val="none"/>
                <w:lang w:val="en-US" w:eastAsia="zh-CN" w:bidi="ar"/>
              </w:rPr>
            </w:pPr>
            <w:r>
              <w:rPr>
                <w:rFonts w:hint="eastAsia" w:ascii="仿宋_GB2312" w:hAnsi="宋体" w:eastAsia="仿宋_GB2312" w:cs="仿宋_GB2312"/>
                <w:b/>
                <w:bCs/>
                <w:i w:val="0"/>
                <w:iCs w:val="0"/>
                <w:color w:val="000000"/>
                <w:kern w:val="0"/>
                <w:sz w:val="24"/>
                <w:szCs w:val="24"/>
                <w:u w:val="none"/>
                <w:lang w:val="en-US" w:eastAsia="zh-CN" w:bidi="ar"/>
              </w:rPr>
              <w:t>混凝土管</w:t>
            </w:r>
          </w:p>
        </w:tc>
        <w:tc>
          <w:tcPr>
            <w:tcW w:w="0" w:type="auto"/>
            <w:vMerge w:val="restart"/>
            <w:shd w:val="clear" w:color="auto" w:fill="auto"/>
            <w:noWrap/>
            <w:vAlign w:val="center"/>
          </w:tcPr>
          <w:p w14:paraId="0630888A">
            <w:pPr>
              <w:keepNext w:val="0"/>
              <w:keepLines w:val="0"/>
              <w:widowControl/>
              <w:suppressLineNumbers w:val="0"/>
              <w:jc w:val="center"/>
              <w:textAlignment w:val="center"/>
              <w:rPr>
                <w:rFonts w:hint="eastAsia" w:ascii="仿宋_GB2312" w:hAnsi="宋体" w:eastAsia="仿宋_GB2312" w:cs="仿宋_GB2312"/>
                <w:b/>
                <w:bCs/>
                <w:i w:val="0"/>
                <w:iCs w:val="0"/>
                <w:color w:val="000000"/>
                <w:kern w:val="0"/>
                <w:sz w:val="24"/>
                <w:szCs w:val="24"/>
                <w:u w:val="none"/>
                <w:lang w:val="en-US" w:eastAsia="zh-CN" w:bidi="ar"/>
              </w:rPr>
            </w:pPr>
            <w:r>
              <w:rPr>
                <w:rFonts w:hint="eastAsia" w:ascii="仿宋_GB2312" w:hAnsi="宋体" w:eastAsia="仿宋_GB2312" w:cs="仿宋_GB2312"/>
                <w:b/>
                <w:bCs/>
                <w:i w:val="0"/>
                <w:iCs w:val="0"/>
                <w:color w:val="000000"/>
                <w:kern w:val="0"/>
                <w:sz w:val="24"/>
                <w:szCs w:val="24"/>
                <w:u w:val="none"/>
                <w:lang w:val="en-US" w:eastAsia="zh-CN" w:bidi="ar"/>
              </w:rPr>
              <w:t>米</w:t>
            </w:r>
          </w:p>
        </w:tc>
        <w:tc>
          <w:tcPr>
            <w:tcW w:w="1557" w:type="dxa"/>
            <w:shd w:val="clear" w:color="auto" w:fill="auto"/>
            <w:noWrap/>
            <w:vAlign w:val="center"/>
          </w:tcPr>
          <w:p w14:paraId="7F0546BB">
            <w:pPr>
              <w:keepNext w:val="0"/>
              <w:keepLines w:val="0"/>
              <w:widowControl/>
              <w:suppressLineNumbers w:val="0"/>
              <w:jc w:val="center"/>
              <w:textAlignment w:val="center"/>
              <w:rPr>
                <w:rFonts w:hint="eastAsia" w:ascii="仿宋_GB2312" w:hAnsi="宋体" w:eastAsia="仿宋_GB2312" w:cs="仿宋_GB2312"/>
                <w:b/>
                <w:bCs/>
                <w:i w:val="0"/>
                <w:iCs w:val="0"/>
                <w:color w:val="000000"/>
                <w:kern w:val="0"/>
                <w:sz w:val="24"/>
                <w:szCs w:val="24"/>
                <w:u w:val="none"/>
                <w:lang w:val="en-US" w:eastAsia="zh-CN" w:bidi="ar"/>
              </w:rPr>
            </w:pPr>
          </w:p>
        </w:tc>
      </w:tr>
      <w:tr w14:paraId="1C0C0E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80" w:hRule="atLeast"/>
        </w:trPr>
        <w:tc>
          <w:tcPr>
            <w:tcW w:w="0" w:type="auto"/>
            <w:vMerge w:val="continue"/>
            <w:shd w:val="clear" w:color="auto" w:fill="auto"/>
            <w:noWrap/>
            <w:vAlign w:val="center"/>
          </w:tcPr>
          <w:p w14:paraId="02D007E4">
            <w:pPr>
              <w:keepNext w:val="0"/>
              <w:keepLines w:val="0"/>
              <w:widowControl/>
              <w:suppressLineNumbers w:val="0"/>
              <w:jc w:val="center"/>
              <w:textAlignment w:val="center"/>
              <w:rPr>
                <w:rFonts w:hint="default" w:ascii="仿宋_GB2312" w:hAnsi="宋体" w:eastAsia="仿宋_GB2312" w:cs="仿宋_GB2312"/>
                <w:b/>
                <w:bCs/>
                <w:i w:val="0"/>
                <w:iCs w:val="0"/>
                <w:color w:val="000000"/>
                <w:kern w:val="0"/>
                <w:sz w:val="24"/>
                <w:szCs w:val="24"/>
                <w:u w:val="none"/>
                <w:lang w:val="en-US" w:eastAsia="zh-CN" w:bidi="ar"/>
              </w:rPr>
            </w:pPr>
          </w:p>
        </w:tc>
        <w:tc>
          <w:tcPr>
            <w:tcW w:w="1314" w:type="dxa"/>
            <w:vMerge w:val="continue"/>
            <w:shd w:val="clear" w:color="auto" w:fill="auto"/>
            <w:noWrap/>
            <w:vAlign w:val="center"/>
          </w:tcPr>
          <w:p w14:paraId="4C8B06D9">
            <w:pPr>
              <w:keepNext w:val="0"/>
              <w:keepLines w:val="0"/>
              <w:widowControl/>
              <w:suppressLineNumbers w:val="0"/>
              <w:jc w:val="center"/>
              <w:textAlignment w:val="center"/>
              <w:rPr>
                <w:rFonts w:hint="default" w:ascii="仿宋_GB2312" w:hAnsi="宋体" w:eastAsia="仿宋_GB2312" w:cs="仿宋_GB2312"/>
                <w:b/>
                <w:bCs/>
                <w:i w:val="0"/>
                <w:iCs w:val="0"/>
                <w:color w:val="000000"/>
                <w:kern w:val="0"/>
                <w:sz w:val="24"/>
                <w:szCs w:val="24"/>
                <w:u w:val="none"/>
                <w:lang w:val="en-US" w:eastAsia="zh-CN" w:bidi="ar"/>
              </w:rPr>
            </w:pPr>
          </w:p>
        </w:tc>
        <w:tc>
          <w:tcPr>
            <w:tcW w:w="0" w:type="auto"/>
            <w:shd w:val="clear" w:color="auto" w:fill="auto"/>
            <w:noWrap/>
            <w:vAlign w:val="center"/>
          </w:tcPr>
          <w:p w14:paraId="4094AFE0">
            <w:pPr>
              <w:keepNext w:val="0"/>
              <w:keepLines w:val="0"/>
              <w:widowControl/>
              <w:suppressLineNumbers w:val="0"/>
              <w:jc w:val="center"/>
              <w:textAlignment w:val="center"/>
              <w:rPr>
                <w:rFonts w:hint="default" w:ascii="仿宋_GB2312" w:hAnsi="宋体" w:eastAsia="仿宋_GB2312" w:cs="仿宋_GB2312"/>
                <w:b/>
                <w:bCs/>
                <w:i w:val="0"/>
                <w:iCs w:val="0"/>
                <w:color w:val="000000"/>
                <w:kern w:val="0"/>
                <w:sz w:val="24"/>
                <w:szCs w:val="24"/>
                <w:u w:val="none"/>
                <w:lang w:val="en-US" w:eastAsia="zh-CN" w:bidi="ar"/>
              </w:rPr>
            </w:pPr>
            <w:r>
              <w:rPr>
                <w:rFonts w:hint="eastAsia" w:ascii="仿宋_GB2312" w:hAnsi="宋体" w:eastAsia="仿宋_GB2312" w:cs="仿宋_GB2312"/>
                <w:b/>
                <w:bCs/>
                <w:i w:val="0"/>
                <w:iCs w:val="0"/>
                <w:color w:val="000000"/>
                <w:kern w:val="0"/>
                <w:sz w:val="24"/>
                <w:szCs w:val="24"/>
                <w:u w:val="none"/>
                <w:lang w:val="en-US" w:eastAsia="zh-CN" w:bidi="ar"/>
              </w:rPr>
              <w:t>波纹管</w:t>
            </w:r>
          </w:p>
        </w:tc>
        <w:tc>
          <w:tcPr>
            <w:tcW w:w="0" w:type="auto"/>
            <w:vMerge w:val="continue"/>
            <w:shd w:val="clear" w:color="auto" w:fill="auto"/>
            <w:noWrap/>
            <w:vAlign w:val="center"/>
          </w:tcPr>
          <w:p w14:paraId="10C4528F">
            <w:pPr>
              <w:keepNext w:val="0"/>
              <w:keepLines w:val="0"/>
              <w:widowControl/>
              <w:suppressLineNumbers w:val="0"/>
              <w:jc w:val="center"/>
              <w:textAlignment w:val="center"/>
              <w:rPr>
                <w:rFonts w:hint="default" w:ascii="仿宋_GB2312" w:hAnsi="宋体" w:eastAsia="仿宋_GB2312" w:cs="仿宋_GB2312"/>
                <w:b/>
                <w:bCs/>
                <w:i w:val="0"/>
                <w:iCs w:val="0"/>
                <w:color w:val="000000"/>
                <w:kern w:val="0"/>
                <w:sz w:val="24"/>
                <w:szCs w:val="24"/>
                <w:u w:val="none"/>
                <w:lang w:val="en-US" w:eastAsia="zh-CN" w:bidi="ar"/>
              </w:rPr>
            </w:pPr>
          </w:p>
        </w:tc>
        <w:tc>
          <w:tcPr>
            <w:tcW w:w="1557" w:type="dxa"/>
            <w:shd w:val="clear" w:color="auto" w:fill="auto"/>
            <w:noWrap/>
            <w:vAlign w:val="center"/>
          </w:tcPr>
          <w:p w14:paraId="0AD80C8C">
            <w:pPr>
              <w:keepNext w:val="0"/>
              <w:keepLines w:val="0"/>
              <w:widowControl/>
              <w:suppressLineNumbers w:val="0"/>
              <w:jc w:val="center"/>
              <w:textAlignment w:val="center"/>
              <w:rPr>
                <w:rFonts w:hint="default" w:ascii="仿宋_GB2312" w:hAnsi="宋体" w:eastAsia="仿宋_GB2312" w:cs="仿宋_GB2312"/>
                <w:b/>
                <w:bCs/>
                <w:i w:val="0"/>
                <w:iCs w:val="0"/>
                <w:color w:val="000000"/>
                <w:kern w:val="0"/>
                <w:sz w:val="24"/>
                <w:szCs w:val="24"/>
                <w:u w:val="none"/>
                <w:lang w:val="en-US" w:eastAsia="zh-CN" w:bidi="ar"/>
              </w:rPr>
            </w:pPr>
          </w:p>
        </w:tc>
      </w:tr>
      <w:tr w14:paraId="18010D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570" w:hRule="atLeast"/>
        </w:trPr>
        <w:tc>
          <w:tcPr>
            <w:tcW w:w="0" w:type="auto"/>
            <w:shd w:val="clear" w:color="auto" w:fill="auto"/>
            <w:noWrap/>
            <w:vAlign w:val="center"/>
          </w:tcPr>
          <w:p w14:paraId="719536B6">
            <w:pPr>
              <w:keepNext w:val="0"/>
              <w:keepLines w:val="0"/>
              <w:widowControl/>
              <w:suppressLineNumbers w:val="0"/>
              <w:jc w:val="center"/>
              <w:textAlignment w:val="center"/>
              <w:rPr>
                <w:rFonts w:hint="eastAsia" w:ascii="仿宋_GB2312" w:hAnsi="宋体" w:eastAsia="仿宋_GB2312" w:cs="仿宋_GB2312"/>
                <w:b/>
                <w:bCs/>
                <w:i w:val="0"/>
                <w:iCs w:val="0"/>
                <w:color w:val="000000"/>
                <w:kern w:val="0"/>
                <w:sz w:val="24"/>
                <w:szCs w:val="24"/>
                <w:u w:val="none"/>
                <w:lang w:val="en-US" w:eastAsia="zh-CN" w:bidi="ar"/>
              </w:rPr>
            </w:pPr>
            <w:r>
              <w:rPr>
                <w:rFonts w:hint="eastAsia" w:ascii="仿宋_GB2312" w:hAnsi="宋体" w:eastAsia="仿宋_GB2312" w:cs="仿宋_GB2312"/>
                <w:b/>
                <w:bCs/>
                <w:i w:val="0"/>
                <w:iCs w:val="0"/>
                <w:color w:val="000000"/>
                <w:kern w:val="0"/>
                <w:sz w:val="24"/>
                <w:szCs w:val="24"/>
                <w:u w:val="none"/>
                <w:lang w:val="en-US" w:eastAsia="zh-CN" w:bidi="ar"/>
              </w:rPr>
              <w:t>3</w:t>
            </w:r>
          </w:p>
        </w:tc>
        <w:tc>
          <w:tcPr>
            <w:tcW w:w="0" w:type="auto"/>
            <w:gridSpan w:val="2"/>
            <w:shd w:val="clear" w:color="auto" w:fill="auto"/>
            <w:noWrap/>
            <w:vAlign w:val="center"/>
          </w:tcPr>
          <w:p w14:paraId="090064FA">
            <w:pPr>
              <w:keepNext w:val="0"/>
              <w:keepLines w:val="0"/>
              <w:widowControl/>
              <w:suppressLineNumbers w:val="0"/>
              <w:jc w:val="center"/>
              <w:textAlignment w:val="center"/>
              <w:rPr>
                <w:rFonts w:hint="default" w:ascii="仿宋_GB2312" w:hAnsi="宋体" w:eastAsia="仿宋_GB2312" w:cs="仿宋_GB2312"/>
                <w:b/>
                <w:bCs/>
                <w:i w:val="0"/>
                <w:iCs w:val="0"/>
                <w:color w:val="000000"/>
                <w:kern w:val="0"/>
                <w:sz w:val="24"/>
                <w:szCs w:val="24"/>
                <w:u w:val="none"/>
                <w:lang w:val="en-US" w:eastAsia="zh-CN" w:bidi="ar"/>
              </w:rPr>
            </w:pPr>
            <w:r>
              <w:rPr>
                <w:rFonts w:hint="default" w:ascii="仿宋_GB2312" w:hAnsi="宋体" w:eastAsia="仿宋_GB2312" w:cs="仿宋_GB2312"/>
                <w:b/>
                <w:bCs/>
                <w:i w:val="0"/>
                <w:iCs w:val="0"/>
                <w:color w:val="000000"/>
                <w:kern w:val="0"/>
                <w:sz w:val="24"/>
                <w:szCs w:val="24"/>
                <w:u w:val="none"/>
                <w:lang w:val="en-US" w:eastAsia="zh-CN" w:bidi="ar"/>
              </w:rPr>
              <w:t>管道检测</w:t>
            </w:r>
          </w:p>
        </w:tc>
        <w:tc>
          <w:tcPr>
            <w:tcW w:w="0" w:type="auto"/>
            <w:shd w:val="clear" w:color="auto" w:fill="auto"/>
            <w:noWrap/>
            <w:vAlign w:val="center"/>
          </w:tcPr>
          <w:p w14:paraId="0E4AB657">
            <w:pPr>
              <w:keepNext w:val="0"/>
              <w:keepLines w:val="0"/>
              <w:widowControl/>
              <w:suppressLineNumbers w:val="0"/>
              <w:jc w:val="center"/>
              <w:textAlignment w:val="center"/>
              <w:rPr>
                <w:rFonts w:hint="eastAsia" w:ascii="仿宋_GB2312" w:hAnsi="宋体" w:eastAsia="仿宋_GB2312" w:cs="仿宋_GB2312"/>
                <w:b/>
                <w:bCs/>
                <w:i w:val="0"/>
                <w:iCs w:val="0"/>
                <w:color w:val="000000"/>
                <w:kern w:val="0"/>
                <w:sz w:val="24"/>
                <w:szCs w:val="24"/>
                <w:u w:val="none"/>
                <w:lang w:val="en-US" w:eastAsia="zh-CN" w:bidi="ar"/>
              </w:rPr>
            </w:pPr>
            <w:r>
              <w:rPr>
                <w:rFonts w:hint="eastAsia" w:ascii="仿宋_GB2312" w:hAnsi="宋体" w:eastAsia="仿宋_GB2312" w:cs="仿宋_GB2312"/>
                <w:b/>
                <w:bCs/>
                <w:i w:val="0"/>
                <w:iCs w:val="0"/>
                <w:color w:val="000000"/>
                <w:kern w:val="0"/>
                <w:sz w:val="24"/>
                <w:szCs w:val="24"/>
                <w:u w:val="none"/>
                <w:lang w:val="en-US" w:eastAsia="zh-CN" w:bidi="ar"/>
              </w:rPr>
              <w:t>米</w:t>
            </w:r>
          </w:p>
        </w:tc>
        <w:tc>
          <w:tcPr>
            <w:tcW w:w="1557" w:type="dxa"/>
            <w:shd w:val="clear" w:color="auto" w:fill="auto"/>
            <w:noWrap/>
            <w:vAlign w:val="center"/>
          </w:tcPr>
          <w:p w14:paraId="73CAB5A7">
            <w:pPr>
              <w:keepNext w:val="0"/>
              <w:keepLines w:val="0"/>
              <w:widowControl/>
              <w:suppressLineNumbers w:val="0"/>
              <w:jc w:val="center"/>
              <w:textAlignment w:val="center"/>
              <w:rPr>
                <w:rFonts w:hint="eastAsia" w:ascii="仿宋_GB2312" w:hAnsi="宋体" w:eastAsia="仿宋_GB2312" w:cs="仿宋_GB2312"/>
                <w:b/>
                <w:bCs/>
                <w:i w:val="0"/>
                <w:iCs w:val="0"/>
                <w:color w:val="000000"/>
                <w:kern w:val="0"/>
                <w:sz w:val="24"/>
                <w:szCs w:val="24"/>
                <w:u w:val="none"/>
                <w:lang w:val="en-US" w:eastAsia="zh-CN" w:bidi="ar"/>
              </w:rPr>
            </w:pPr>
          </w:p>
        </w:tc>
      </w:tr>
      <w:tr w14:paraId="0AA3A1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570" w:hRule="atLeast"/>
        </w:trPr>
        <w:tc>
          <w:tcPr>
            <w:tcW w:w="0" w:type="auto"/>
            <w:shd w:val="clear" w:color="auto" w:fill="auto"/>
            <w:noWrap/>
            <w:vAlign w:val="center"/>
          </w:tcPr>
          <w:p w14:paraId="4F53A229">
            <w:pPr>
              <w:keepNext w:val="0"/>
              <w:keepLines w:val="0"/>
              <w:widowControl/>
              <w:suppressLineNumbers w:val="0"/>
              <w:jc w:val="center"/>
              <w:textAlignment w:val="center"/>
              <w:rPr>
                <w:rFonts w:hint="eastAsia" w:ascii="仿宋_GB2312" w:hAnsi="宋体" w:eastAsia="仿宋_GB2312" w:cs="仿宋_GB2312"/>
                <w:b/>
                <w:bCs/>
                <w:i w:val="0"/>
                <w:iCs w:val="0"/>
                <w:color w:val="000000"/>
                <w:kern w:val="0"/>
                <w:sz w:val="24"/>
                <w:szCs w:val="24"/>
                <w:u w:val="none"/>
                <w:lang w:val="en-US" w:eastAsia="zh-CN" w:bidi="ar"/>
              </w:rPr>
            </w:pPr>
            <w:r>
              <w:rPr>
                <w:rFonts w:hint="eastAsia" w:ascii="仿宋_GB2312" w:hAnsi="宋体" w:eastAsia="仿宋_GB2312" w:cs="仿宋_GB2312"/>
                <w:b/>
                <w:bCs/>
                <w:i w:val="0"/>
                <w:iCs w:val="0"/>
                <w:color w:val="000000"/>
                <w:kern w:val="0"/>
                <w:sz w:val="24"/>
                <w:szCs w:val="24"/>
                <w:u w:val="none"/>
                <w:lang w:val="en-US" w:eastAsia="zh-CN" w:bidi="ar"/>
              </w:rPr>
              <w:t>4</w:t>
            </w:r>
          </w:p>
        </w:tc>
        <w:tc>
          <w:tcPr>
            <w:tcW w:w="0" w:type="auto"/>
            <w:gridSpan w:val="2"/>
            <w:shd w:val="clear" w:color="auto" w:fill="auto"/>
            <w:noWrap/>
            <w:vAlign w:val="center"/>
          </w:tcPr>
          <w:p w14:paraId="06EF821C">
            <w:pPr>
              <w:keepNext w:val="0"/>
              <w:keepLines w:val="0"/>
              <w:widowControl/>
              <w:suppressLineNumbers w:val="0"/>
              <w:jc w:val="center"/>
              <w:textAlignment w:val="center"/>
              <w:rPr>
                <w:rFonts w:hint="default" w:ascii="仿宋_GB2312" w:hAnsi="宋体" w:eastAsia="仿宋_GB2312" w:cs="仿宋_GB2312"/>
                <w:b/>
                <w:bCs/>
                <w:i w:val="0"/>
                <w:iCs w:val="0"/>
                <w:color w:val="000000"/>
                <w:kern w:val="0"/>
                <w:sz w:val="24"/>
                <w:szCs w:val="24"/>
                <w:u w:val="none"/>
                <w:lang w:val="en-US" w:eastAsia="zh-CN" w:bidi="ar"/>
              </w:rPr>
            </w:pPr>
            <w:r>
              <w:rPr>
                <w:rFonts w:hint="default" w:ascii="仿宋_GB2312" w:hAnsi="宋体" w:eastAsia="仿宋_GB2312" w:cs="仿宋_GB2312"/>
                <w:b/>
                <w:bCs/>
                <w:i w:val="0"/>
                <w:iCs w:val="0"/>
                <w:color w:val="000000"/>
                <w:kern w:val="0"/>
                <w:sz w:val="24"/>
                <w:szCs w:val="24"/>
                <w:u w:val="none"/>
                <w:lang w:val="en-US" w:eastAsia="zh-CN" w:bidi="ar"/>
              </w:rPr>
              <w:t>管道维修</w:t>
            </w:r>
          </w:p>
        </w:tc>
        <w:tc>
          <w:tcPr>
            <w:tcW w:w="0" w:type="auto"/>
            <w:shd w:val="clear" w:color="auto" w:fill="auto"/>
            <w:noWrap/>
            <w:vAlign w:val="center"/>
          </w:tcPr>
          <w:p w14:paraId="6A6833FC">
            <w:pPr>
              <w:keepNext w:val="0"/>
              <w:keepLines w:val="0"/>
              <w:widowControl/>
              <w:suppressLineNumbers w:val="0"/>
              <w:jc w:val="center"/>
              <w:textAlignment w:val="center"/>
              <w:rPr>
                <w:rFonts w:hint="eastAsia" w:ascii="仿宋_GB2312" w:hAnsi="宋体" w:eastAsia="仿宋_GB2312" w:cs="仿宋_GB2312"/>
                <w:b/>
                <w:bCs/>
                <w:i w:val="0"/>
                <w:iCs w:val="0"/>
                <w:color w:val="000000"/>
                <w:kern w:val="0"/>
                <w:sz w:val="24"/>
                <w:szCs w:val="24"/>
                <w:u w:val="none"/>
                <w:lang w:val="en-US" w:eastAsia="zh-CN" w:bidi="ar"/>
              </w:rPr>
            </w:pPr>
            <w:r>
              <w:rPr>
                <w:rFonts w:hint="eastAsia" w:ascii="仿宋_GB2312" w:hAnsi="宋体" w:eastAsia="仿宋_GB2312" w:cs="仿宋_GB2312"/>
                <w:b/>
                <w:bCs/>
                <w:i w:val="0"/>
                <w:iCs w:val="0"/>
                <w:color w:val="000000"/>
                <w:kern w:val="0"/>
                <w:sz w:val="24"/>
                <w:szCs w:val="24"/>
                <w:u w:val="none"/>
                <w:lang w:val="en-US" w:eastAsia="zh-CN" w:bidi="ar"/>
              </w:rPr>
              <w:t>米</w:t>
            </w:r>
          </w:p>
        </w:tc>
        <w:tc>
          <w:tcPr>
            <w:tcW w:w="1557" w:type="dxa"/>
            <w:shd w:val="clear" w:color="auto" w:fill="auto"/>
            <w:noWrap/>
            <w:vAlign w:val="center"/>
          </w:tcPr>
          <w:p w14:paraId="59BBA9A2">
            <w:pPr>
              <w:keepNext w:val="0"/>
              <w:keepLines w:val="0"/>
              <w:widowControl/>
              <w:suppressLineNumbers w:val="0"/>
              <w:jc w:val="center"/>
              <w:textAlignment w:val="center"/>
              <w:rPr>
                <w:rFonts w:hint="eastAsia" w:ascii="仿宋_GB2312" w:hAnsi="宋体" w:eastAsia="仿宋_GB2312" w:cs="仿宋_GB2312"/>
                <w:b/>
                <w:bCs/>
                <w:i w:val="0"/>
                <w:iCs w:val="0"/>
                <w:color w:val="000000"/>
                <w:kern w:val="0"/>
                <w:sz w:val="24"/>
                <w:szCs w:val="24"/>
                <w:u w:val="none"/>
                <w:lang w:val="en-US" w:eastAsia="zh-CN" w:bidi="ar"/>
              </w:rPr>
            </w:pPr>
          </w:p>
        </w:tc>
      </w:tr>
      <w:tr w14:paraId="0DB8FB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570" w:hRule="atLeast"/>
        </w:trPr>
        <w:tc>
          <w:tcPr>
            <w:tcW w:w="0" w:type="auto"/>
            <w:shd w:val="clear" w:color="auto" w:fill="auto"/>
            <w:noWrap/>
            <w:vAlign w:val="center"/>
          </w:tcPr>
          <w:p w14:paraId="36EC395C">
            <w:pPr>
              <w:keepNext w:val="0"/>
              <w:keepLines w:val="0"/>
              <w:widowControl/>
              <w:suppressLineNumbers w:val="0"/>
              <w:jc w:val="center"/>
              <w:textAlignment w:val="center"/>
              <w:rPr>
                <w:rFonts w:hint="eastAsia" w:ascii="仿宋_GB2312" w:hAnsi="宋体" w:eastAsia="仿宋_GB2312" w:cs="仿宋_GB2312"/>
                <w:b/>
                <w:bCs/>
                <w:i w:val="0"/>
                <w:iCs w:val="0"/>
                <w:color w:val="000000"/>
                <w:kern w:val="0"/>
                <w:sz w:val="24"/>
                <w:szCs w:val="24"/>
                <w:u w:val="none"/>
                <w:lang w:val="en-US" w:eastAsia="zh-CN" w:bidi="ar"/>
              </w:rPr>
            </w:pPr>
            <w:r>
              <w:rPr>
                <w:rFonts w:hint="eastAsia" w:ascii="仿宋_GB2312" w:hAnsi="宋体" w:eastAsia="仿宋_GB2312" w:cs="仿宋_GB2312"/>
                <w:b/>
                <w:bCs/>
                <w:i w:val="0"/>
                <w:iCs w:val="0"/>
                <w:color w:val="000000"/>
                <w:kern w:val="0"/>
                <w:sz w:val="24"/>
                <w:szCs w:val="24"/>
                <w:u w:val="none"/>
                <w:lang w:val="en-US" w:eastAsia="zh-CN" w:bidi="ar"/>
              </w:rPr>
              <w:t>5</w:t>
            </w:r>
          </w:p>
        </w:tc>
        <w:tc>
          <w:tcPr>
            <w:tcW w:w="0" w:type="auto"/>
            <w:gridSpan w:val="2"/>
            <w:shd w:val="clear" w:color="auto" w:fill="auto"/>
            <w:noWrap/>
            <w:vAlign w:val="center"/>
          </w:tcPr>
          <w:p w14:paraId="0E13DAE3">
            <w:pPr>
              <w:keepNext w:val="0"/>
              <w:keepLines w:val="0"/>
              <w:widowControl/>
              <w:suppressLineNumbers w:val="0"/>
              <w:jc w:val="center"/>
              <w:textAlignment w:val="center"/>
              <w:rPr>
                <w:rFonts w:hint="default" w:ascii="仿宋_GB2312" w:hAnsi="宋体" w:eastAsia="仿宋_GB2312" w:cs="仿宋_GB2312"/>
                <w:b/>
                <w:bCs/>
                <w:i w:val="0"/>
                <w:iCs w:val="0"/>
                <w:color w:val="000000"/>
                <w:kern w:val="0"/>
                <w:sz w:val="24"/>
                <w:szCs w:val="24"/>
                <w:u w:val="none"/>
                <w:lang w:val="en-US" w:eastAsia="zh-CN" w:bidi="ar"/>
              </w:rPr>
            </w:pPr>
            <w:r>
              <w:rPr>
                <w:rFonts w:hint="default" w:ascii="仿宋_GB2312" w:hAnsi="宋体" w:eastAsia="仿宋_GB2312" w:cs="仿宋_GB2312"/>
                <w:b/>
                <w:bCs/>
                <w:i w:val="0"/>
                <w:iCs w:val="0"/>
                <w:color w:val="000000"/>
                <w:kern w:val="0"/>
                <w:sz w:val="24"/>
                <w:szCs w:val="24"/>
                <w:u w:val="none"/>
                <w:lang w:val="en-US" w:eastAsia="zh-CN" w:bidi="ar"/>
              </w:rPr>
              <w:t>混凝土垫层</w:t>
            </w:r>
          </w:p>
        </w:tc>
        <w:tc>
          <w:tcPr>
            <w:tcW w:w="0" w:type="auto"/>
            <w:shd w:val="clear" w:color="auto" w:fill="auto"/>
            <w:noWrap/>
            <w:vAlign w:val="center"/>
          </w:tcPr>
          <w:p w14:paraId="26E0F0B6">
            <w:pPr>
              <w:keepNext w:val="0"/>
              <w:keepLines w:val="0"/>
              <w:widowControl/>
              <w:suppressLineNumbers w:val="0"/>
              <w:jc w:val="center"/>
              <w:textAlignment w:val="center"/>
              <w:rPr>
                <w:rFonts w:hint="eastAsia" w:ascii="仿宋_GB2312" w:hAnsi="宋体" w:eastAsia="仿宋_GB2312" w:cs="仿宋_GB2312"/>
                <w:b/>
                <w:bCs/>
                <w:i w:val="0"/>
                <w:iCs w:val="0"/>
                <w:color w:val="000000"/>
                <w:kern w:val="0"/>
                <w:sz w:val="24"/>
                <w:szCs w:val="24"/>
                <w:u w:val="none"/>
                <w:lang w:val="en-US" w:eastAsia="zh-CN" w:bidi="ar"/>
              </w:rPr>
            </w:pPr>
            <w:r>
              <w:rPr>
                <w:rFonts w:hint="eastAsia" w:ascii="仿宋_GB2312" w:hAnsi="宋体" w:eastAsia="仿宋_GB2312" w:cs="仿宋_GB2312"/>
                <w:b/>
                <w:bCs/>
                <w:i w:val="0"/>
                <w:iCs w:val="0"/>
                <w:color w:val="000000"/>
                <w:kern w:val="0"/>
                <w:sz w:val="24"/>
                <w:szCs w:val="24"/>
                <w:u w:val="none"/>
                <w:lang w:val="en-US" w:eastAsia="zh-CN" w:bidi="ar"/>
              </w:rPr>
              <w:t>米</w:t>
            </w:r>
          </w:p>
        </w:tc>
        <w:tc>
          <w:tcPr>
            <w:tcW w:w="1557" w:type="dxa"/>
            <w:shd w:val="clear" w:color="auto" w:fill="auto"/>
            <w:noWrap/>
            <w:vAlign w:val="center"/>
          </w:tcPr>
          <w:p w14:paraId="4C71EBA3">
            <w:pPr>
              <w:keepNext w:val="0"/>
              <w:keepLines w:val="0"/>
              <w:widowControl/>
              <w:suppressLineNumbers w:val="0"/>
              <w:jc w:val="center"/>
              <w:textAlignment w:val="center"/>
              <w:rPr>
                <w:rFonts w:hint="eastAsia" w:ascii="仿宋_GB2312" w:hAnsi="宋体" w:eastAsia="仿宋_GB2312" w:cs="仿宋_GB2312"/>
                <w:b/>
                <w:bCs/>
                <w:i w:val="0"/>
                <w:iCs w:val="0"/>
                <w:color w:val="000000"/>
                <w:kern w:val="0"/>
                <w:sz w:val="24"/>
                <w:szCs w:val="24"/>
                <w:u w:val="none"/>
                <w:lang w:val="en-US" w:eastAsia="zh-CN" w:bidi="ar"/>
              </w:rPr>
            </w:pPr>
          </w:p>
        </w:tc>
      </w:tr>
      <w:tr w14:paraId="5AB6F3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855" w:hRule="atLeast"/>
        </w:trPr>
        <w:tc>
          <w:tcPr>
            <w:tcW w:w="0" w:type="auto"/>
            <w:shd w:val="clear" w:color="auto" w:fill="auto"/>
            <w:noWrap/>
            <w:vAlign w:val="center"/>
          </w:tcPr>
          <w:p w14:paraId="3D7997F4">
            <w:pPr>
              <w:keepNext w:val="0"/>
              <w:keepLines w:val="0"/>
              <w:widowControl/>
              <w:suppressLineNumbers w:val="0"/>
              <w:jc w:val="center"/>
              <w:textAlignment w:val="center"/>
              <w:rPr>
                <w:rFonts w:hint="eastAsia" w:ascii="仿宋_GB2312" w:hAnsi="宋体" w:eastAsia="仿宋_GB2312" w:cs="仿宋_GB2312"/>
                <w:b/>
                <w:bCs/>
                <w:i w:val="0"/>
                <w:iCs w:val="0"/>
                <w:color w:val="000000"/>
                <w:kern w:val="0"/>
                <w:sz w:val="24"/>
                <w:szCs w:val="24"/>
                <w:u w:val="none"/>
                <w:lang w:val="en-US" w:eastAsia="zh-CN" w:bidi="ar"/>
              </w:rPr>
            </w:pPr>
            <w:r>
              <w:rPr>
                <w:rFonts w:hint="eastAsia" w:ascii="仿宋_GB2312" w:hAnsi="宋体" w:eastAsia="仿宋_GB2312" w:cs="仿宋_GB2312"/>
                <w:b/>
                <w:bCs/>
                <w:i w:val="0"/>
                <w:iCs w:val="0"/>
                <w:color w:val="000000"/>
                <w:kern w:val="0"/>
                <w:sz w:val="24"/>
                <w:szCs w:val="24"/>
                <w:u w:val="none"/>
                <w:lang w:val="en-US" w:eastAsia="zh-CN" w:bidi="ar"/>
              </w:rPr>
              <w:t>6</w:t>
            </w:r>
          </w:p>
        </w:tc>
        <w:tc>
          <w:tcPr>
            <w:tcW w:w="0" w:type="auto"/>
            <w:gridSpan w:val="2"/>
            <w:shd w:val="clear" w:color="auto" w:fill="auto"/>
            <w:noWrap/>
            <w:vAlign w:val="center"/>
          </w:tcPr>
          <w:p w14:paraId="7FBBEE4B">
            <w:pPr>
              <w:keepNext w:val="0"/>
              <w:keepLines w:val="0"/>
              <w:widowControl/>
              <w:suppressLineNumbers w:val="0"/>
              <w:jc w:val="center"/>
              <w:textAlignment w:val="center"/>
              <w:rPr>
                <w:rFonts w:hint="default" w:ascii="仿宋_GB2312" w:hAnsi="宋体" w:eastAsia="仿宋_GB2312" w:cs="仿宋_GB2312"/>
                <w:b/>
                <w:bCs/>
                <w:i w:val="0"/>
                <w:iCs w:val="0"/>
                <w:color w:val="000000"/>
                <w:kern w:val="0"/>
                <w:sz w:val="24"/>
                <w:szCs w:val="24"/>
                <w:u w:val="none"/>
                <w:lang w:val="en-US" w:eastAsia="zh-CN" w:bidi="ar"/>
              </w:rPr>
            </w:pPr>
            <w:r>
              <w:rPr>
                <w:rFonts w:hint="default" w:ascii="仿宋_GB2312" w:hAnsi="宋体" w:eastAsia="仿宋_GB2312" w:cs="仿宋_GB2312"/>
                <w:b/>
                <w:bCs/>
                <w:i w:val="0"/>
                <w:iCs w:val="0"/>
                <w:color w:val="000000"/>
                <w:kern w:val="0"/>
                <w:sz w:val="24"/>
                <w:szCs w:val="24"/>
                <w:u w:val="none"/>
                <w:lang w:val="en-US" w:eastAsia="zh-CN" w:bidi="ar"/>
              </w:rPr>
              <w:t>混凝土填充</w:t>
            </w:r>
          </w:p>
        </w:tc>
        <w:tc>
          <w:tcPr>
            <w:tcW w:w="0" w:type="auto"/>
            <w:shd w:val="clear" w:color="auto" w:fill="auto"/>
            <w:noWrap/>
            <w:vAlign w:val="center"/>
          </w:tcPr>
          <w:p w14:paraId="138BBEE0">
            <w:pPr>
              <w:keepNext w:val="0"/>
              <w:keepLines w:val="0"/>
              <w:widowControl/>
              <w:suppressLineNumbers w:val="0"/>
              <w:jc w:val="center"/>
              <w:textAlignment w:val="center"/>
              <w:rPr>
                <w:rFonts w:hint="eastAsia" w:ascii="仿宋_GB2312" w:hAnsi="宋体" w:eastAsia="仿宋_GB2312" w:cs="仿宋_GB2312"/>
                <w:b/>
                <w:bCs/>
                <w:i w:val="0"/>
                <w:iCs w:val="0"/>
                <w:color w:val="000000"/>
                <w:kern w:val="0"/>
                <w:sz w:val="24"/>
                <w:szCs w:val="24"/>
                <w:u w:val="none"/>
                <w:lang w:val="en-US" w:eastAsia="zh-CN" w:bidi="ar"/>
              </w:rPr>
            </w:pPr>
            <w:r>
              <w:rPr>
                <w:rFonts w:hint="eastAsia" w:ascii="仿宋_GB2312" w:hAnsi="宋体" w:eastAsia="仿宋_GB2312" w:cs="仿宋_GB2312"/>
                <w:b/>
                <w:bCs/>
                <w:i w:val="0"/>
                <w:iCs w:val="0"/>
                <w:color w:val="000000"/>
                <w:kern w:val="0"/>
                <w:sz w:val="24"/>
                <w:szCs w:val="24"/>
                <w:u w:val="none"/>
                <w:lang w:val="en-US" w:eastAsia="zh-CN" w:bidi="ar"/>
              </w:rPr>
              <w:t>方（c25）</w:t>
            </w:r>
          </w:p>
        </w:tc>
        <w:tc>
          <w:tcPr>
            <w:tcW w:w="1557" w:type="dxa"/>
            <w:shd w:val="clear" w:color="auto" w:fill="auto"/>
            <w:noWrap/>
            <w:vAlign w:val="center"/>
          </w:tcPr>
          <w:p w14:paraId="02A61CD3">
            <w:pPr>
              <w:keepNext w:val="0"/>
              <w:keepLines w:val="0"/>
              <w:widowControl/>
              <w:suppressLineNumbers w:val="0"/>
              <w:jc w:val="center"/>
              <w:textAlignment w:val="center"/>
              <w:rPr>
                <w:rFonts w:hint="eastAsia" w:ascii="仿宋_GB2312" w:hAnsi="宋体" w:eastAsia="仿宋_GB2312" w:cs="仿宋_GB2312"/>
                <w:b/>
                <w:bCs/>
                <w:i w:val="0"/>
                <w:iCs w:val="0"/>
                <w:color w:val="000000"/>
                <w:kern w:val="0"/>
                <w:sz w:val="24"/>
                <w:szCs w:val="24"/>
                <w:u w:val="none"/>
                <w:lang w:val="en-US" w:eastAsia="zh-CN" w:bidi="ar"/>
              </w:rPr>
            </w:pPr>
          </w:p>
        </w:tc>
      </w:tr>
      <w:tr w14:paraId="64E76D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570" w:hRule="atLeast"/>
        </w:trPr>
        <w:tc>
          <w:tcPr>
            <w:tcW w:w="0" w:type="auto"/>
            <w:shd w:val="clear" w:color="auto" w:fill="auto"/>
            <w:noWrap/>
            <w:vAlign w:val="center"/>
          </w:tcPr>
          <w:p w14:paraId="6269D3EC">
            <w:pPr>
              <w:keepNext w:val="0"/>
              <w:keepLines w:val="0"/>
              <w:widowControl/>
              <w:suppressLineNumbers w:val="0"/>
              <w:jc w:val="center"/>
              <w:textAlignment w:val="center"/>
              <w:rPr>
                <w:rFonts w:hint="eastAsia" w:ascii="仿宋_GB2312" w:hAnsi="宋体" w:eastAsia="仿宋_GB2312" w:cs="仿宋_GB2312"/>
                <w:b/>
                <w:bCs/>
                <w:i w:val="0"/>
                <w:iCs w:val="0"/>
                <w:color w:val="000000"/>
                <w:kern w:val="0"/>
                <w:sz w:val="24"/>
                <w:szCs w:val="24"/>
                <w:u w:val="none"/>
                <w:lang w:val="en-US" w:eastAsia="zh-CN" w:bidi="ar"/>
              </w:rPr>
            </w:pPr>
            <w:r>
              <w:rPr>
                <w:rFonts w:hint="eastAsia" w:ascii="仿宋_GB2312" w:hAnsi="宋体" w:eastAsia="仿宋_GB2312" w:cs="仿宋_GB2312"/>
                <w:b/>
                <w:bCs/>
                <w:i w:val="0"/>
                <w:iCs w:val="0"/>
                <w:color w:val="000000"/>
                <w:kern w:val="0"/>
                <w:sz w:val="24"/>
                <w:szCs w:val="24"/>
                <w:u w:val="none"/>
                <w:lang w:val="en-US" w:eastAsia="zh-CN" w:bidi="ar"/>
              </w:rPr>
              <w:t>7</w:t>
            </w:r>
          </w:p>
        </w:tc>
        <w:tc>
          <w:tcPr>
            <w:tcW w:w="0" w:type="auto"/>
            <w:gridSpan w:val="2"/>
            <w:shd w:val="clear" w:color="auto" w:fill="auto"/>
            <w:noWrap/>
            <w:vAlign w:val="center"/>
          </w:tcPr>
          <w:p w14:paraId="31DE375D">
            <w:pPr>
              <w:keepNext w:val="0"/>
              <w:keepLines w:val="0"/>
              <w:widowControl/>
              <w:suppressLineNumbers w:val="0"/>
              <w:jc w:val="center"/>
              <w:textAlignment w:val="center"/>
              <w:rPr>
                <w:rFonts w:hint="default" w:ascii="仿宋_GB2312" w:hAnsi="宋体" w:eastAsia="仿宋_GB2312" w:cs="仿宋_GB2312"/>
                <w:b/>
                <w:bCs/>
                <w:i w:val="0"/>
                <w:iCs w:val="0"/>
                <w:color w:val="000000"/>
                <w:kern w:val="0"/>
                <w:sz w:val="24"/>
                <w:szCs w:val="24"/>
                <w:u w:val="none"/>
                <w:lang w:val="en-US" w:eastAsia="zh-CN" w:bidi="ar"/>
              </w:rPr>
            </w:pPr>
            <w:r>
              <w:rPr>
                <w:rFonts w:hint="default" w:ascii="仿宋_GB2312" w:hAnsi="宋体" w:eastAsia="仿宋_GB2312" w:cs="仿宋_GB2312"/>
                <w:b/>
                <w:bCs/>
                <w:i w:val="0"/>
                <w:iCs w:val="0"/>
                <w:color w:val="000000"/>
                <w:kern w:val="0"/>
                <w:sz w:val="24"/>
                <w:szCs w:val="24"/>
                <w:u w:val="none"/>
                <w:lang w:val="en-US" w:eastAsia="zh-CN" w:bidi="ar"/>
              </w:rPr>
              <w:t>连砂石回填</w:t>
            </w:r>
          </w:p>
        </w:tc>
        <w:tc>
          <w:tcPr>
            <w:tcW w:w="0" w:type="auto"/>
            <w:shd w:val="clear" w:color="auto" w:fill="auto"/>
            <w:noWrap/>
            <w:vAlign w:val="center"/>
          </w:tcPr>
          <w:p w14:paraId="4672AE22">
            <w:pPr>
              <w:keepNext w:val="0"/>
              <w:keepLines w:val="0"/>
              <w:widowControl/>
              <w:suppressLineNumbers w:val="0"/>
              <w:jc w:val="center"/>
              <w:textAlignment w:val="center"/>
              <w:rPr>
                <w:rFonts w:hint="eastAsia" w:ascii="仿宋_GB2312" w:hAnsi="宋体" w:eastAsia="仿宋_GB2312" w:cs="仿宋_GB2312"/>
                <w:b/>
                <w:bCs/>
                <w:i w:val="0"/>
                <w:iCs w:val="0"/>
                <w:color w:val="000000"/>
                <w:kern w:val="0"/>
                <w:sz w:val="24"/>
                <w:szCs w:val="24"/>
                <w:u w:val="none"/>
                <w:lang w:val="en-US" w:eastAsia="zh-CN" w:bidi="ar"/>
              </w:rPr>
            </w:pPr>
            <w:r>
              <w:rPr>
                <w:rFonts w:hint="eastAsia" w:ascii="仿宋_GB2312" w:hAnsi="宋体" w:eastAsia="仿宋_GB2312" w:cs="仿宋_GB2312"/>
                <w:b/>
                <w:bCs/>
                <w:i w:val="0"/>
                <w:iCs w:val="0"/>
                <w:color w:val="000000"/>
                <w:kern w:val="0"/>
                <w:sz w:val="24"/>
                <w:szCs w:val="24"/>
                <w:u w:val="none"/>
                <w:lang w:val="en-US" w:eastAsia="zh-CN" w:bidi="ar"/>
              </w:rPr>
              <w:t>方</w:t>
            </w:r>
          </w:p>
        </w:tc>
        <w:tc>
          <w:tcPr>
            <w:tcW w:w="1557" w:type="dxa"/>
            <w:shd w:val="clear" w:color="auto" w:fill="auto"/>
            <w:noWrap/>
            <w:vAlign w:val="center"/>
          </w:tcPr>
          <w:p w14:paraId="21645F5B">
            <w:pPr>
              <w:keepNext w:val="0"/>
              <w:keepLines w:val="0"/>
              <w:widowControl/>
              <w:suppressLineNumbers w:val="0"/>
              <w:jc w:val="center"/>
              <w:textAlignment w:val="center"/>
              <w:rPr>
                <w:rFonts w:hint="eastAsia" w:ascii="仿宋_GB2312" w:hAnsi="宋体" w:eastAsia="仿宋_GB2312" w:cs="仿宋_GB2312"/>
                <w:b/>
                <w:bCs/>
                <w:i w:val="0"/>
                <w:iCs w:val="0"/>
                <w:color w:val="000000"/>
                <w:kern w:val="0"/>
                <w:sz w:val="24"/>
                <w:szCs w:val="24"/>
                <w:u w:val="none"/>
                <w:lang w:val="en-US" w:eastAsia="zh-CN" w:bidi="ar"/>
              </w:rPr>
            </w:pPr>
          </w:p>
        </w:tc>
      </w:tr>
      <w:tr w14:paraId="0D258A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570" w:hRule="atLeast"/>
        </w:trPr>
        <w:tc>
          <w:tcPr>
            <w:tcW w:w="0" w:type="auto"/>
            <w:shd w:val="clear" w:color="auto" w:fill="auto"/>
            <w:noWrap/>
            <w:vAlign w:val="center"/>
          </w:tcPr>
          <w:p w14:paraId="1A4DD939">
            <w:pPr>
              <w:keepNext w:val="0"/>
              <w:keepLines w:val="0"/>
              <w:widowControl/>
              <w:suppressLineNumbers w:val="0"/>
              <w:jc w:val="center"/>
              <w:textAlignment w:val="center"/>
              <w:rPr>
                <w:rFonts w:hint="eastAsia" w:ascii="仿宋_GB2312" w:hAnsi="宋体" w:eastAsia="仿宋_GB2312" w:cs="仿宋_GB2312"/>
                <w:b/>
                <w:bCs/>
                <w:i w:val="0"/>
                <w:iCs w:val="0"/>
                <w:color w:val="000000"/>
                <w:kern w:val="0"/>
                <w:sz w:val="24"/>
                <w:szCs w:val="24"/>
                <w:u w:val="none"/>
                <w:lang w:val="en-US" w:eastAsia="zh-CN" w:bidi="ar"/>
              </w:rPr>
            </w:pPr>
            <w:r>
              <w:rPr>
                <w:rFonts w:hint="eastAsia" w:ascii="仿宋_GB2312" w:hAnsi="宋体" w:eastAsia="仿宋_GB2312" w:cs="仿宋_GB2312"/>
                <w:b/>
                <w:bCs/>
                <w:i w:val="0"/>
                <w:iCs w:val="0"/>
                <w:color w:val="000000"/>
                <w:kern w:val="0"/>
                <w:sz w:val="24"/>
                <w:szCs w:val="24"/>
                <w:u w:val="none"/>
                <w:lang w:val="en-US" w:eastAsia="zh-CN" w:bidi="ar"/>
              </w:rPr>
              <w:t>8</w:t>
            </w:r>
          </w:p>
        </w:tc>
        <w:tc>
          <w:tcPr>
            <w:tcW w:w="0" w:type="auto"/>
            <w:gridSpan w:val="2"/>
            <w:shd w:val="clear" w:color="auto" w:fill="auto"/>
            <w:noWrap/>
            <w:vAlign w:val="center"/>
          </w:tcPr>
          <w:p w14:paraId="15E09828">
            <w:pPr>
              <w:keepNext w:val="0"/>
              <w:keepLines w:val="0"/>
              <w:widowControl/>
              <w:suppressLineNumbers w:val="0"/>
              <w:jc w:val="center"/>
              <w:textAlignment w:val="center"/>
              <w:rPr>
                <w:rFonts w:hint="default" w:ascii="仿宋_GB2312" w:hAnsi="宋体" w:eastAsia="仿宋_GB2312" w:cs="仿宋_GB2312"/>
                <w:b/>
                <w:bCs/>
                <w:i w:val="0"/>
                <w:iCs w:val="0"/>
                <w:color w:val="000000"/>
                <w:kern w:val="0"/>
                <w:sz w:val="24"/>
                <w:szCs w:val="24"/>
                <w:u w:val="none"/>
                <w:lang w:val="en-US" w:eastAsia="zh-CN" w:bidi="ar"/>
              </w:rPr>
            </w:pPr>
            <w:r>
              <w:rPr>
                <w:rFonts w:hint="default" w:ascii="仿宋_GB2312" w:hAnsi="宋体" w:eastAsia="仿宋_GB2312" w:cs="仿宋_GB2312"/>
                <w:b/>
                <w:bCs/>
                <w:i w:val="0"/>
                <w:iCs w:val="0"/>
                <w:color w:val="000000"/>
                <w:kern w:val="0"/>
                <w:sz w:val="24"/>
                <w:szCs w:val="24"/>
                <w:u w:val="none"/>
                <w:lang w:val="en-US" w:eastAsia="zh-CN" w:bidi="ar"/>
              </w:rPr>
              <w:t>土方回填</w:t>
            </w:r>
          </w:p>
        </w:tc>
        <w:tc>
          <w:tcPr>
            <w:tcW w:w="0" w:type="auto"/>
            <w:shd w:val="clear" w:color="auto" w:fill="auto"/>
            <w:noWrap/>
            <w:vAlign w:val="center"/>
          </w:tcPr>
          <w:p w14:paraId="35302FA2">
            <w:pPr>
              <w:keepNext w:val="0"/>
              <w:keepLines w:val="0"/>
              <w:widowControl/>
              <w:suppressLineNumbers w:val="0"/>
              <w:jc w:val="center"/>
              <w:textAlignment w:val="center"/>
              <w:rPr>
                <w:rFonts w:hint="eastAsia" w:ascii="仿宋_GB2312" w:hAnsi="宋体" w:eastAsia="仿宋_GB2312" w:cs="仿宋_GB2312"/>
                <w:b/>
                <w:bCs/>
                <w:i w:val="0"/>
                <w:iCs w:val="0"/>
                <w:color w:val="000000"/>
                <w:kern w:val="0"/>
                <w:sz w:val="24"/>
                <w:szCs w:val="24"/>
                <w:u w:val="none"/>
                <w:lang w:val="en-US" w:eastAsia="zh-CN" w:bidi="ar"/>
              </w:rPr>
            </w:pPr>
            <w:r>
              <w:rPr>
                <w:rFonts w:hint="eastAsia" w:ascii="仿宋_GB2312" w:hAnsi="宋体" w:eastAsia="仿宋_GB2312" w:cs="仿宋_GB2312"/>
                <w:b/>
                <w:bCs/>
                <w:i w:val="0"/>
                <w:iCs w:val="0"/>
                <w:color w:val="000000"/>
                <w:kern w:val="0"/>
                <w:sz w:val="24"/>
                <w:szCs w:val="24"/>
                <w:u w:val="none"/>
                <w:lang w:val="en-US" w:eastAsia="zh-CN" w:bidi="ar"/>
              </w:rPr>
              <w:t>方</w:t>
            </w:r>
          </w:p>
        </w:tc>
        <w:tc>
          <w:tcPr>
            <w:tcW w:w="1557" w:type="dxa"/>
            <w:shd w:val="clear" w:color="auto" w:fill="auto"/>
            <w:noWrap/>
            <w:vAlign w:val="center"/>
          </w:tcPr>
          <w:p w14:paraId="2F619473">
            <w:pPr>
              <w:keepNext w:val="0"/>
              <w:keepLines w:val="0"/>
              <w:widowControl/>
              <w:suppressLineNumbers w:val="0"/>
              <w:jc w:val="center"/>
              <w:textAlignment w:val="center"/>
              <w:rPr>
                <w:rFonts w:hint="eastAsia" w:ascii="仿宋_GB2312" w:hAnsi="宋体" w:eastAsia="仿宋_GB2312" w:cs="仿宋_GB2312"/>
                <w:b/>
                <w:bCs/>
                <w:i w:val="0"/>
                <w:iCs w:val="0"/>
                <w:color w:val="000000"/>
                <w:kern w:val="0"/>
                <w:sz w:val="24"/>
                <w:szCs w:val="24"/>
                <w:u w:val="none"/>
                <w:lang w:val="en-US" w:eastAsia="zh-CN" w:bidi="ar"/>
              </w:rPr>
            </w:pPr>
          </w:p>
        </w:tc>
      </w:tr>
    </w:tbl>
    <w:p w14:paraId="47985C9B">
      <w:pPr>
        <w:pStyle w:val="2"/>
        <w:numPr>
          <w:ilvl w:val="0"/>
          <w:numId w:val="0"/>
        </w:numPr>
        <w:rPr>
          <w:rFonts w:hint="default" w:ascii="仿宋_GB2312" w:hAnsi="仿宋_GB2312" w:eastAsia="仿宋_GB2312" w:cs="仿宋_GB2312"/>
          <w:sz w:val="32"/>
          <w:szCs w:val="32"/>
          <w:lang w:val="en-US" w:eastAsia="zh-CN"/>
        </w:rPr>
      </w:pPr>
    </w:p>
    <w:sectPr>
      <w:headerReference r:id="rId5" w:type="first"/>
      <w:headerReference r:id="rId3" w:type="default"/>
      <w:headerReference r:id="rId4" w:type="even"/>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简体">
    <w:altName w:val="黑体"/>
    <w:panose1 w:val="03000509000000000000"/>
    <w:charset w:val="86"/>
    <w:family w:val="auto"/>
    <w:pitch w:val="default"/>
    <w:sig w:usb0="00000000" w:usb1="00000000" w:usb2="00000000" w:usb3="00000000" w:csb0="00040000" w:csb1="00000000"/>
  </w:font>
  <w:font w:name="仿宋_GB2312">
    <w:altName w:val="仿宋"/>
    <w:panose1 w:val="02010609030101010101"/>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46D7E90">
    <w:r>
      <w:pict>
        <v:shape id="_x0000_s4098" o:spid="_x0000_s4098" o:spt="75" type="#_x0000_t75" style="position:absolute;left:0pt;height:841.9pt;width:595.3pt;mso-position-horizontal:center;mso-position-horizontal-relative:page;mso-position-vertical:center;mso-position-vertical-relative:page;z-index:-251657216;mso-width-relative:page;mso-height-relative:page;" filled="f" o:preferrelative="t" stroked="f" coordsize="21600,21600">
          <v:path/>
          <v:fill on="f" focussize="0,0"/>
          <v:stroke on="f" joinstyle="miter"/>
          <v:imagedata r:id="rId1" o:title=""/>
          <o:lock v:ext="edit" aspectratio="t"/>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7CB9664">
    <w:r>
      <w:pict>
        <v:shape id="_x0000_s4099" o:spid="_x0000_s4099" o:spt="75" type="#_x0000_t75" style="position:absolute;left:0pt;height:841.9pt;width:595.3pt;mso-position-horizontal:center;mso-position-horizontal-relative:page;mso-position-vertical:center;mso-position-vertical-relative:page;z-index:-251655168;mso-width-relative:page;mso-height-relative:page;" filled="f" o:preferrelative="t" stroked="f" coordsize="21600,21600">
          <v:path/>
          <v:fill on="f" focussize="0,0"/>
          <v:stroke on="f" joinstyle="miter"/>
          <v:imagedata r:id="rId1" o:title=""/>
          <o:lock v:ext="edit" aspectratio="t"/>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51158B6">
    <w:r>
      <w:pict>
        <v:shape id="_x0000_s4097" o:spid="_x0000_s4097" o:spt="75" type="#_x0000_t75" style="position:absolute;left:0pt;height:841.9pt;width:595.3pt;mso-position-horizontal:center;mso-position-horizontal-relative:page;mso-position-vertical:center;mso-position-vertical-relative:page;z-index:-251656192;mso-width-relative:page;mso-height-relative:page;" filled="f" o:preferrelative="t" stroked="f" coordsize="21600,21600">
          <v:path/>
          <v:fill on="f" focussize="0,0"/>
          <v:stroke on="f" joinstyle="miter"/>
          <v:imagedata r:id="rId1" o:title=""/>
          <o:lock v:ext="edit" aspectratio="t"/>
        </v:shape>
      </w:pic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3,4"/>
    </o:shapelayout>
  </w:hdrShapeDefaults>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00000"/>
    <w:rsid w:val="07DE24CD"/>
    <w:rsid w:val="2BD00639"/>
    <w:rsid w:val="2C9F7BCD"/>
    <w:rsid w:val="493556E9"/>
    <w:rsid w:val="4DFC4A28"/>
    <w:rsid w:val="63D907D6"/>
    <w:rsid w:val="68572B2F"/>
    <w:rsid w:val="77161E07"/>
    <w:rsid w:val="7C4D7F5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iPriority="99"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6">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Body Text"/>
    <w:basedOn w:val="1"/>
    <w:qFormat/>
    <w:uiPriority w:val="0"/>
    <w:pPr>
      <w:spacing w:after="120"/>
    </w:pPr>
  </w:style>
  <w:style w:type="paragraph" w:styleId="3">
    <w:name w:val="annotation text"/>
    <w:basedOn w:val="1"/>
    <w:qFormat/>
    <w:uiPriority w:val="0"/>
    <w:pPr>
      <w:jc w:val="left"/>
    </w:pPr>
  </w:style>
  <w:style w:type="table" w:styleId="5">
    <w:name w:val="Table Grid"/>
    <w:basedOn w:val="4"/>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4098"/>
    <customShpInfo spid="_x0000_s4099"/>
    <customShpInfo spid="_x0000_s4097"/>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2</Pages>
  <Words>1263</Words>
  <Characters>1304</Characters>
  <Lines>0</Lines>
  <Paragraphs>0</Paragraphs>
  <TotalTime>29</TotalTime>
  <ScaleCrop>false</ScaleCrop>
  <LinksUpToDate>false</LinksUpToDate>
  <CharactersWithSpaces>1308</CharactersWithSpaces>
  <Application>WPS Office_12.1.0.19770_F1E327BC-269C-435d-A152-05C5408002CA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2025-04-14T01:04:00Z</dcterms:created>
  <dc:creator>Administrator</dc:creator>
  <cp:lastModifiedBy>毕昌敏</cp:lastModifiedBy>
  <dcterms:modified xsi:type="dcterms:W3CDTF">2025-04-28T07:52:55Z</dcterms:modified>
  <cp:revision>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ICV">
    <vt:lpwstr>7EB3B19C5968481CA1E495C11ABAB0E7_13</vt:lpwstr>
  </property>
  <property fmtid="{D5CDD505-2E9C-101B-9397-08002B2CF9AE}" pid="3" name="KSOProductBuildVer">
    <vt:lpwstr>2052-12.1.0.19770</vt:lpwstr>
  </property>
  <property fmtid="{D5CDD505-2E9C-101B-9397-08002B2CF9AE}" pid="4" name="KSOTemplateDocerSaveRecord">
    <vt:lpwstr>eyJoZGlkIjoiM2ZjYzI0ODM2OTk5ZTc0N2NjMTk1OGM3N2ExN2EyNDIiLCJ1c2VySWQiOiIxNjc1MTE0MTg1In0=</vt:lpwstr>
  </property>
</Properties>
</file>